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553B5">
      <w:pPr>
        <w:jc w:val="center"/>
        <w:rPr>
          <w:rFonts w:hint="eastAsia" w:ascii="黑体" w:hAnsi="黑体" w:eastAsia="黑体"/>
          <w:sz w:val="32"/>
          <w:szCs w:val="32"/>
          <w:lang w:val="en-US" w:eastAsia="zh-CN"/>
        </w:rPr>
      </w:pPr>
      <w:r>
        <w:rPr>
          <w:rFonts w:hint="eastAsia" w:ascii="黑体" w:hAnsi="黑体" w:eastAsia="黑体"/>
          <w:sz w:val="32"/>
          <w:szCs w:val="32"/>
        </w:rPr>
        <w:t>周口市生态环境局</w:t>
      </w:r>
      <w:r>
        <w:rPr>
          <w:rFonts w:hint="eastAsia" w:ascii="黑体" w:hAnsi="黑体" w:eastAsia="黑体"/>
          <w:sz w:val="32"/>
          <w:szCs w:val="32"/>
          <w:lang w:eastAsia="zh-CN"/>
        </w:rPr>
        <w:t>关于</w:t>
      </w:r>
      <w:r>
        <w:rPr>
          <w:rFonts w:hint="eastAsia" w:ascii="黑体" w:hAnsi="黑体" w:eastAsia="黑体"/>
          <w:sz w:val="32"/>
          <w:szCs w:val="32"/>
          <w:lang w:val="en-US" w:eastAsia="zh-CN"/>
        </w:rPr>
        <w:t>周口市第二污水处理厂</w:t>
      </w:r>
      <w:r>
        <w:rPr>
          <w:rFonts w:hint="eastAsia" w:ascii="黑体" w:hAnsi="黑体" w:eastAsia="黑体"/>
          <w:sz w:val="32"/>
          <w:szCs w:val="32"/>
          <w:lang w:eastAsia="zh-CN"/>
        </w:rPr>
        <w:t>第</w:t>
      </w:r>
      <w:r>
        <w:rPr>
          <w:rFonts w:hint="eastAsia" w:ascii="黑体" w:hAnsi="黑体" w:eastAsia="黑体"/>
          <w:sz w:val="32"/>
          <w:szCs w:val="32"/>
          <w:lang w:val="en-US" w:eastAsia="zh-CN"/>
        </w:rPr>
        <w:t>三</w:t>
      </w:r>
      <w:r>
        <w:rPr>
          <w:rFonts w:hint="eastAsia" w:ascii="黑体" w:hAnsi="黑体" w:eastAsia="黑体"/>
          <w:sz w:val="32"/>
          <w:szCs w:val="32"/>
          <w:lang w:eastAsia="zh-CN"/>
        </w:rPr>
        <w:t>污水处理</w:t>
      </w:r>
      <w:r>
        <w:rPr>
          <w:rFonts w:hint="eastAsia" w:ascii="黑体" w:hAnsi="黑体" w:eastAsia="黑体"/>
          <w:sz w:val="32"/>
          <w:szCs w:val="32"/>
          <w:lang w:val="en-US" w:eastAsia="zh-CN"/>
        </w:rPr>
        <w:t>厂建设工程PPP项目</w:t>
      </w:r>
    </w:p>
    <w:p w14:paraId="1AFEE2F5">
      <w:pPr>
        <w:jc w:val="center"/>
        <w:rPr>
          <w:rFonts w:hint="eastAsia" w:ascii="黑体" w:hAnsi="黑体" w:eastAsia="黑体"/>
          <w:sz w:val="32"/>
          <w:szCs w:val="32"/>
        </w:rPr>
      </w:pPr>
      <w:r>
        <w:rPr>
          <w:rFonts w:hint="eastAsia" w:ascii="黑体" w:hAnsi="黑体" w:eastAsia="黑体"/>
          <w:sz w:val="32"/>
          <w:szCs w:val="32"/>
          <w:lang w:val="en-US" w:eastAsia="zh-CN"/>
        </w:rPr>
        <w:t>（第三污水处理厂）(重新报批)</w:t>
      </w:r>
      <w:r>
        <w:rPr>
          <w:rFonts w:hint="eastAsia" w:ascii="黑体" w:hAnsi="黑体" w:eastAsia="黑体"/>
          <w:sz w:val="32"/>
          <w:szCs w:val="32"/>
        </w:rPr>
        <w:t>环境影响评价文件拟审批情况的公示</w:t>
      </w:r>
    </w:p>
    <w:p w14:paraId="68CEC9C8">
      <w:pPr>
        <w:ind w:firstLine="560" w:firstLineChars="200"/>
        <w:rPr>
          <w:rFonts w:hint="eastAsia" w:ascii="Times New Roman" w:cs="Times New Roman" w:hAnsiTheme="minorEastAsia"/>
          <w:color w:val="auto"/>
          <w:sz w:val="28"/>
          <w:szCs w:val="28"/>
          <w:highlight w:val="yellow"/>
        </w:rPr>
      </w:pPr>
      <w:r>
        <w:rPr>
          <w:rFonts w:hint="eastAsia" w:ascii="Times New Roman" w:cs="Times New Roman" w:hAnsiTheme="minorEastAsia"/>
          <w:sz w:val="28"/>
          <w:szCs w:val="28"/>
        </w:rPr>
        <w:t>根据建设项目环境影响评价审批程序的有关规定，经审议，我局拟对</w:t>
      </w:r>
      <w:r>
        <w:rPr>
          <w:rFonts w:hint="eastAsia" w:ascii="Times New Roman" w:cs="Times New Roman" w:hAnsiTheme="minorEastAsia"/>
          <w:sz w:val="28"/>
          <w:szCs w:val="28"/>
          <w:lang w:val="en-US" w:eastAsia="zh-CN"/>
        </w:rPr>
        <w:t>周口市第二污水处理厂</w:t>
      </w:r>
      <w:r>
        <w:rPr>
          <w:rFonts w:hint="eastAsia" w:ascii="Times New Roman" w:cs="Times New Roman" w:hAnsiTheme="minorEastAsia"/>
          <w:sz w:val="28"/>
          <w:szCs w:val="28"/>
        </w:rPr>
        <w:t>第</w:t>
      </w:r>
      <w:r>
        <w:rPr>
          <w:rFonts w:hint="eastAsia" w:ascii="Times New Roman" w:cs="Times New Roman" w:hAnsiTheme="minorEastAsia"/>
          <w:sz w:val="28"/>
          <w:szCs w:val="28"/>
          <w:lang w:val="en-US" w:eastAsia="zh-CN"/>
        </w:rPr>
        <w:t>三</w:t>
      </w:r>
      <w:r>
        <w:rPr>
          <w:rFonts w:hint="eastAsia" w:ascii="Times New Roman" w:cs="Times New Roman" w:hAnsiTheme="minorEastAsia"/>
          <w:sz w:val="28"/>
          <w:szCs w:val="28"/>
        </w:rPr>
        <w:t>污水处理</w:t>
      </w:r>
      <w:r>
        <w:rPr>
          <w:rFonts w:hint="eastAsia" w:ascii="Times New Roman" w:cs="Times New Roman" w:hAnsiTheme="minorEastAsia"/>
          <w:sz w:val="28"/>
          <w:szCs w:val="28"/>
          <w:lang w:val="en-US" w:eastAsia="zh-CN"/>
        </w:rPr>
        <w:t>厂建设工程PPP项目（第三污水处理厂）(重新报批)</w:t>
      </w:r>
      <w:r>
        <w:rPr>
          <w:rFonts w:hint="eastAsia" w:ascii="Times New Roman" w:cs="Times New Roman" w:hAnsiTheme="minorEastAsia"/>
          <w:sz w:val="28"/>
          <w:szCs w:val="28"/>
        </w:rPr>
        <w:t>环境影响评价文件作出拟审批意见。为保证拟审批意见的严肃性和公正性，现将建设项目环境影响评价文件的基本情况予以公示。如有异议，请在公示期内反馈我局行政审批服务科。</w:t>
      </w:r>
      <w:r>
        <w:rPr>
          <w:rFonts w:hint="eastAsia" w:ascii="Times New Roman" w:cs="Times New Roman" w:hAnsiTheme="minorEastAsia"/>
          <w:color w:val="auto"/>
          <w:sz w:val="28"/>
          <w:szCs w:val="28"/>
          <w:highlight w:val="none"/>
        </w:rPr>
        <w:t>公示期为2024年</w:t>
      </w:r>
      <w:r>
        <w:rPr>
          <w:rFonts w:hint="eastAsia" w:ascii="Times New Roman" w:cs="Times New Roman" w:hAnsiTheme="minorEastAsia"/>
          <w:color w:val="auto"/>
          <w:sz w:val="28"/>
          <w:szCs w:val="28"/>
          <w:highlight w:val="none"/>
          <w:lang w:val="en-US" w:eastAsia="zh-CN"/>
        </w:rPr>
        <w:t>10</w:t>
      </w:r>
      <w:r>
        <w:rPr>
          <w:rFonts w:hint="eastAsia" w:ascii="Times New Roman" w:cs="Times New Roman" w:hAnsiTheme="minorEastAsia"/>
          <w:color w:val="auto"/>
          <w:sz w:val="28"/>
          <w:szCs w:val="28"/>
          <w:highlight w:val="none"/>
        </w:rPr>
        <w:t>月</w:t>
      </w:r>
      <w:r>
        <w:rPr>
          <w:rFonts w:hint="eastAsia" w:ascii="Times New Roman" w:cs="Times New Roman" w:hAnsiTheme="minorEastAsia"/>
          <w:color w:val="auto"/>
          <w:sz w:val="28"/>
          <w:szCs w:val="28"/>
          <w:highlight w:val="none"/>
          <w:lang w:val="en-US" w:eastAsia="zh-CN"/>
        </w:rPr>
        <w:t>22</w:t>
      </w:r>
      <w:r>
        <w:rPr>
          <w:rFonts w:hint="eastAsia" w:ascii="Times New Roman" w:cs="Times New Roman" w:hAnsiTheme="minorEastAsia"/>
          <w:color w:val="auto"/>
          <w:sz w:val="28"/>
          <w:szCs w:val="28"/>
          <w:highlight w:val="none"/>
        </w:rPr>
        <w:t>日－2024年</w:t>
      </w:r>
      <w:r>
        <w:rPr>
          <w:rFonts w:hint="eastAsia" w:ascii="Times New Roman" w:cs="Times New Roman" w:hAnsiTheme="minorEastAsia"/>
          <w:color w:val="auto"/>
          <w:sz w:val="28"/>
          <w:szCs w:val="28"/>
          <w:highlight w:val="none"/>
          <w:lang w:val="en-US" w:eastAsia="zh-CN"/>
        </w:rPr>
        <w:t>10</w:t>
      </w:r>
      <w:r>
        <w:rPr>
          <w:rFonts w:hint="eastAsia" w:ascii="Times New Roman" w:cs="Times New Roman" w:hAnsiTheme="minorEastAsia"/>
          <w:color w:val="auto"/>
          <w:sz w:val="28"/>
          <w:szCs w:val="28"/>
          <w:highlight w:val="none"/>
        </w:rPr>
        <w:t>月</w:t>
      </w:r>
      <w:r>
        <w:rPr>
          <w:rFonts w:hint="eastAsia" w:ascii="Times New Roman" w:cs="Times New Roman" w:hAnsiTheme="minorEastAsia"/>
          <w:color w:val="auto"/>
          <w:sz w:val="28"/>
          <w:szCs w:val="28"/>
          <w:highlight w:val="none"/>
          <w:lang w:val="en-US" w:eastAsia="zh-CN"/>
        </w:rPr>
        <w:t>28</w:t>
      </w:r>
      <w:r>
        <w:rPr>
          <w:rFonts w:hint="eastAsia" w:ascii="Times New Roman" w:cs="Times New Roman" w:hAnsiTheme="minorEastAsia"/>
          <w:color w:val="auto"/>
          <w:sz w:val="28"/>
          <w:szCs w:val="28"/>
          <w:highlight w:val="none"/>
        </w:rPr>
        <w:t>日。</w:t>
      </w:r>
    </w:p>
    <w:p w14:paraId="66CB79C0">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p>
    <w:p w14:paraId="3A517E07">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3CFA4468">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6F5A1DEC">
      <w:pPr>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受理拟审批的建设项目环境影响报告书</w:t>
      </w:r>
    </w:p>
    <w:tbl>
      <w:tblPr>
        <w:tblStyle w:val="8"/>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593"/>
        <w:gridCol w:w="7479"/>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2307F90">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07579573">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3A3573D9">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1A7E7A9F">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472C680C">
            <w:pPr>
              <w:jc w:val="center"/>
              <w:rPr>
                <w:rFonts w:ascii="Times New Roman" w:hAnsi="Times New Roman" w:cs="Times New Roman"/>
                <w:szCs w:val="21"/>
              </w:rPr>
            </w:pPr>
            <w:r>
              <w:rPr>
                <w:rFonts w:ascii="Times New Roman" w:cs="Times New Roman" w:hAnsiTheme="minorEastAsia"/>
                <w:szCs w:val="21"/>
              </w:rPr>
              <w:t>环境影响评价机构</w:t>
            </w:r>
          </w:p>
        </w:tc>
        <w:tc>
          <w:tcPr>
            <w:tcW w:w="1593" w:type="dxa"/>
            <w:vAlign w:val="center"/>
          </w:tcPr>
          <w:p w14:paraId="3B30638C">
            <w:pPr>
              <w:jc w:val="center"/>
              <w:rPr>
                <w:rFonts w:ascii="Times New Roman" w:hAnsi="Times New Roman" w:cs="Times New Roman"/>
                <w:szCs w:val="21"/>
              </w:rPr>
            </w:pPr>
            <w:r>
              <w:rPr>
                <w:rFonts w:ascii="Times New Roman" w:cs="Times New Roman" w:hAnsiTheme="minorEastAsia"/>
                <w:szCs w:val="21"/>
              </w:rPr>
              <w:t>建设项目概况</w:t>
            </w:r>
          </w:p>
        </w:tc>
        <w:tc>
          <w:tcPr>
            <w:tcW w:w="7479" w:type="dxa"/>
            <w:vAlign w:val="center"/>
          </w:tcPr>
          <w:p w14:paraId="45ED47D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3012F84A">
            <w:pPr>
              <w:jc w:val="center"/>
              <w:rPr>
                <w:rFonts w:ascii="Times New Roman" w:hAnsi="Times New Roman" w:cs="Times New Roman"/>
                <w:szCs w:val="21"/>
              </w:rPr>
            </w:pPr>
            <w:r>
              <w:rPr>
                <w:rFonts w:ascii="Times New Roman" w:cs="Times New Roman" w:hAnsiTheme="minorEastAsia"/>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443" w:hRule="atLeast"/>
        </w:trPr>
        <w:tc>
          <w:tcPr>
            <w:tcW w:w="426" w:type="dxa"/>
          </w:tcPr>
          <w:p w14:paraId="182CD600">
            <w:pPr>
              <w:jc w:val="center"/>
              <w:rPr>
                <w:rFonts w:ascii="Times New Roman" w:hAnsi="Times New Roman" w:cs="Times New Roman"/>
                <w:szCs w:val="21"/>
              </w:rPr>
            </w:pPr>
            <w:r>
              <w:rPr>
                <w:rFonts w:ascii="Times New Roman" w:hAnsi="Times New Roman" w:cs="Times New Roman"/>
                <w:szCs w:val="21"/>
              </w:rPr>
              <w:t>1</w:t>
            </w:r>
          </w:p>
        </w:tc>
        <w:tc>
          <w:tcPr>
            <w:tcW w:w="1100" w:type="dxa"/>
            <w:shd w:val="clear" w:color="auto" w:fill="auto"/>
            <w:vAlign w:val="top"/>
          </w:tcPr>
          <w:p w14:paraId="00082AEB">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周口市第二污水处理厂第三污水处理厂建设工程PPP项目（第三污水处理厂）(重新报批)</w:t>
            </w:r>
          </w:p>
        </w:tc>
        <w:tc>
          <w:tcPr>
            <w:tcW w:w="1134" w:type="dxa"/>
            <w:shd w:val="clear" w:color="auto" w:fill="auto"/>
            <w:vAlign w:val="top"/>
          </w:tcPr>
          <w:p w14:paraId="1465480B">
            <w:pPr>
              <w:jc w:val="center"/>
              <w:rPr>
                <w:rFonts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河南省</w:t>
            </w:r>
            <w:r>
              <w:rPr>
                <w:rFonts w:hint="default" w:ascii="Times New Roman" w:hAnsi="Times New Roman" w:cs="Times New Roman" w:eastAsiaTheme="minorEastAsia"/>
                <w:kern w:val="2"/>
                <w:sz w:val="21"/>
                <w:szCs w:val="21"/>
                <w:lang w:val="en-US" w:eastAsia="zh-CN" w:bidi="ar-SA"/>
              </w:rPr>
              <w:t>周口市川汇区金海路办事处彭埠口</w:t>
            </w:r>
            <w:r>
              <w:rPr>
                <w:rFonts w:hint="eastAsia" w:ascii="Times New Roman" w:hAnsi="Times New Roman" w:cs="Times New Roman" w:eastAsiaTheme="minorEastAsia"/>
                <w:kern w:val="2"/>
                <w:sz w:val="21"/>
                <w:szCs w:val="21"/>
                <w:lang w:val="en-US" w:eastAsia="zh-CN" w:bidi="ar-SA"/>
              </w:rPr>
              <w:t>村</w:t>
            </w:r>
          </w:p>
        </w:tc>
        <w:tc>
          <w:tcPr>
            <w:tcW w:w="709" w:type="dxa"/>
            <w:shd w:val="clear" w:color="auto" w:fill="auto"/>
            <w:vAlign w:val="top"/>
          </w:tcPr>
          <w:p w14:paraId="39F29EE9">
            <w:pPr>
              <w:jc w:val="both"/>
              <w:rPr>
                <w:rFonts w:hint="default"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周口市城市管理局</w:t>
            </w:r>
          </w:p>
        </w:tc>
        <w:tc>
          <w:tcPr>
            <w:tcW w:w="850" w:type="dxa"/>
            <w:shd w:val="clear" w:color="auto" w:fill="auto"/>
            <w:vAlign w:val="top"/>
          </w:tcPr>
          <w:p w14:paraId="057D67B6">
            <w:pPr>
              <w:jc w:val="center"/>
              <w:rPr>
                <w:rFonts w:hint="default"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河南嘉源环保技术有限公司</w:t>
            </w:r>
          </w:p>
        </w:tc>
        <w:tc>
          <w:tcPr>
            <w:tcW w:w="1593" w:type="dxa"/>
            <w:shd w:val="clear" w:color="auto" w:fill="auto"/>
            <w:vAlign w:val="top"/>
          </w:tcPr>
          <w:p w14:paraId="1FD9FB2D">
            <w:pP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建设内容包括日处理污水5万吨污水处理厂一座及配套设施，污水主干管道5.896km。</w:t>
            </w:r>
          </w:p>
        </w:tc>
        <w:tc>
          <w:tcPr>
            <w:tcW w:w="7479" w:type="dxa"/>
            <w:shd w:val="clear" w:color="auto" w:fill="auto"/>
            <w:vAlign w:val="top"/>
          </w:tcPr>
          <w:p w14:paraId="405FD49E">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Times New Roman" w:hAnsi="Times New Roman" w:cs="Times New Roman"/>
                <w:kern w:val="2"/>
                <w:sz w:val="21"/>
                <w:szCs w:val="21"/>
                <w:lang w:val="en-US" w:eastAsia="zh-CN" w:bidi="ar-SA"/>
              </w:rPr>
            </w:pPr>
            <w:r>
              <w:rPr>
                <w:rFonts w:hint="eastAsia" w:ascii="Times New Roman" w:hAnsi="Times New Roman" w:cs="Times New Roman"/>
                <w:kern w:val="2"/>
                <w:sz w:val="21"/>
                <w:szCs w:val="21"/>
                <w:lang w:val="en-US" w:eastAsia="zh-CN" w:bidi="ar-SA"/>
              </w:rPr>
              <w:t>废水：本项目雨污分流,雨水经收集后排入市政雨水管网。厂区内废水主要为生活污水、污泥脱水及反冲洗废水。收集后引至污水处理系统处理后通过厂区排污口排入七里河。</w:t>
            </w:r>
          </w:p>
          <w:p w14:paraId="14495D31">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default" w:ascii="Times New Roman" w:hAnsi="Times New Roman" w:cs="Times New Roman"/>
                <w:kern w:val="2"/>
                <w:sz w:val="21"/>
                <w:szCs w:val="21"/>
                <w:lang w:val="en-US" w:eastAsia="zh-CN" w:bidi="ar-SA"/>
              </w:rPr>
            </w:pPr>
            <w:r>
              <w:rPr>
                <w:rFonts w:hint="eastAsia" w:ascii="Times New Roman" w:hAnsi="Times New Roman" w:cs="Times New Roman"/>
                <w:kern w:val="2"/>
                <w:sz w:val="21"/>
                <w:szCs w:val="21"/>
                <w:lang w:val="en-US" w:eastAsia="zh-CN" w:bidi="ar-SA"/>
              </w:rPr>
              <w:t>废气：</w:t>
            </w:r>
            <w:r>
              <w:rPr>
                <w:rFonts w:hint="eastAsia" w:ascii="Times New Roman" w:hAnsi="Times New Roman" w:cs="Times New Roman" w:eastAsiaTheme="minorEastAsia"/>
                <w:kern w:val="2"/>
                <w:sz w:val="21"/>
                <w:szCs w:val="21"/>
                <w:lang w:val="en-US" w:eastAsia="zh-CN" w:bidi="ar-SA"/>
              </w:rPr>
              <w:t>运营期废气主要为污水处理及污泥处理过程中恶臭废气</w:t>
            </w:r>
            <w:r>
              <w:rPr>
                <w:rFonts w:hint="eastAsia" w:ascii="Times New Roman" w:hAnsi="Times New Roman" w:cs="Times New Roman"/>
                <w:kern w:val="2"/>
                <w:sz w:val="21"/>
                <w:szCs w:val="21"/>
                <w:lang w:val="en-US" w:eastAsia="zh-CN" w:bidi="ar-SA"/>
              </w:rPr>
              <w:t>(</w:t>
            </w:r>
            <w:r>
              <w:rPr>
                <w:rFonts w:hint="eastAsia" w:ascii="Times New Roman" w:hAnsi="Times New Roman" w:cs="Times New Roman" w:eastAsiaTheme="minorEastAsia"/>
                <w:kern w:val="2"/>
                <w:sz w:val="21"/>
                <w:szCs w:val="21"/>
                <w:lang w:val="en-US" w:eastAsia="zh-CN" w:bidi="ar-SA"/>
              </w:rPr>
              <w:t>其主要成分为 H</w:t>
            </w:r>
            <w:r>
              <w:rPr>
                <w:rFonts w:hint="eastAsia" w:ascii="Times New Roman" w:hAnsi="Times New Roman" w:cs="Times New Roman" w:eastAsiaTheme="minorEastAsia"/>
                <w:kern w:val="2"/>
                <w:sz w:val="21"/>
                <w:szCs w:val="21"/>
                <w:vertAlign w:val="subscript"/>
                <w:lang w:val="en-US" w:eastAsia="zh-CN" w:bidi="ar-SA"/>
              </w:rPr>
              <w:t>2</w:t>
            </w:r>
            <w:r>
              <w:rPr>
                <w:rFonts w:hint="eastAsia" w:ascii="Times New Roman" w:hAnsi="Times New Roman" w:cs="Times New Roman" w:eastAsiaTheme="minorEastAsia"/>
                <w:kern w:val="2"/>
                <w:sz w:val="21"/>
                <w:szCs w:val="21"/>
                <w:lang w:val="en-US" w:eastAsia="zh-CN" w:bidi="ar-SA"/>
              </w:rPr>
              <w:t>S、NH</w:t>
            </w:r>
            <w:r>
              <w:rPr>
                <w:rFonts w:hint="eastAsia" w:ascii="Times New Roman" w:hAnsi="Times New Roman" w:cs="Times New Roman" w:eastAsiaTheme="minorEastAsia"/>
                <w:kern w:val="2"/>
                <w:sz w:val="21"/>
                <w:szCs w:val="21"/>
                <w:vertAlign w:val="subscript"/>
                <w:lang w:val="en-US" w:eastAsia="zh-CN" w:bidi="ar-SA"/>
              </w:rPr>
              <w:t>3</w:t>
            </w:r>
            <w:r>
              <w:rPr>
                <w:rFonts w:hint="eastAsia" w:ascii="Times New Roman" w:hAnsi="Times New Roman" w:cs="Times New Roman"/>
                <w:kern w:val="2"/>
                <w:sz w:val="21"/>
                <w:szCs w:val="21"/>
                <w:lang w:val="en-US" w:eastAsia="zh-CN" w:bidi="ar-SA"/>
              </w:rPr>
              <w:t>)</w:t>
            </w:r>
            <w:r>
              <w:rPr>
                <w:rFonts w:hint="eastAsia" w:ascii="Times New Roman" w:hAnsi="Times New Roman" w:cs="Times New Roman" w:eastAsiaTheme="minorEastAsia"/>
                <w:kern w:val="2"/>
                <w:sz w:val="21"/>
                <w:szCs w:val="21"/>
                <w:lang w:val="en-US" w:eastAsia="zh-CN" w:bidi="ar-SA"/>
              </w:rPr>
              <w:t>和食堂油烟。本项目拟对上述主要产生臭气的构筑物（格栅、沉砂池、污泥脱水间）采取封闭措施，恶臭废气拟经负压收集后引至1套生物除臭系统进行处理，硫化氢及氨的排放速率均满足《恶臭污染物排放标准》（GB14554-93）中表 2（15m）恶臭污染物排放限值（硫化氢≤0.33kg/h，氨≤4.9kg/h）要求，经 1 根 15 米高排气筒（DA001）排放尾气通过 1 根 15m 高排气筒（DA001）排放；食堂油烟经油烟净化器处理后满足河南省地方标准《餐饮业油烟污染物排放标准》（DB41/1604-2018）（表 1 小型）排放标准 1.5 mg/m</w:t>
            </w:r>
            <w:r>
              <w:rPr>
                <w:rFonts w:hint="eastAsia" w:ascii="Times New Roman" w:hAnsi="Times New Roman" w:cs="Times New Roman" w:eastAsiaTheme="minorEastAsia"/>
                <w:kern w:val="2"/>
                <w:sz w:val="21"/>
                <w:szCs w:val="21"/>
                <w:vertAlign w:val="superscript"/>
                <w:lang w:val="en-US" w:eastAsia="zh-CN" w:bidi="ar-SA"/>
              </w:rPr>
              <w:t>3</w:t>
            </w:r>
            <w:r>
              <w:rPr>
                <w:rFonts w:hint="eastAsia" w:ascii="Times New Roman" w:hAnsi="Times New Roman" w:cs="Times New Roman" w:eastAsiaTheme="minorEastAsia"/>
                <w:kern w:val="2"/>
                <w:sz w:val="21"/>
                <w:szCs w:val="21"/>
                <w:lang w:val="en-US" w:eastAsia="zh-CN" w:bidi="ar-SA"/>
              </w:rPr>
              <w:t>要求，烟气由专用烟道引至房顶排放。</w:t>
            </w:r>
          </w:p>
          <w:p w14:paraId="766526B0">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Times New Roman" w:hAnsi="Times New Roman" w:cs="Times New Roman"/>
                <w:kern w:val="2"/>
                <w:sz w:val="21"/>
                <w:szCs w:val="21"/>
                <w:lang w:val="en-US" w:eastAsia="zh-CN" w:bidi="ar-SA"/>
              </w:rPr>
            </w:pPr>
            <w:r>
              <w:rPr>
                <w:rFonts w:hint="eastAsia" w:ascii="Times New Roman" w:hAnsi="Times New Roman" w:cs="Times New Roman"/>
                <w:kern w:val="2"/>
                <w:sz w:val="21"/>
                <w:szCs w:val="21"/>
                <w:lang w:val="en-US" w:eastAsia="zh-CN" w:bidi="ar-SA"/>
              </w:rPr>
              <w:t>噪声：运营期噪声主要为污水处理设备运行噪声，采取减震、隔音等措施后，厂界噪声预测值均满足《工业企业厂界环境噪声排放标准》（GB12348-2008）2类标准的限值（昼/夜60/50dB(A)）要求。</w:t>
            </w:r>
          </w:p>
          <w:p w14:paraId="1F469FE0">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default"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固废：运营期固废主要为生活垃圾、栅渣、沉沙及剩余污泥。生活垃圾经收集后交环卫部门处置；栅渣及沉沙经脱水处理后交有处理能力的单位处置；剩余污泥经脱水处理后交周口市污泥处理厂处置。</w:t>
            </w:r>
            <w:bookmarkStart w:id="0" w:name="_GoBack"/>
            <w:bookmarkEnd w:id="0"/>
          </w:p>
        </w:tc>
        <w:tc>
          <w:tcPr>
            <w:tcW w:w="883" w:type="dxa"/>
            <w:shd w:val="clear" w:color="auto" w:fill="auto"/>
            <w:vAlign w:val="top"/>
          </w:tcPr>
          <w:p w14:paraId="35927C6E">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val="en-US" w:eastAsia="zh-CN"/>
              </w:rPr>
              <w:t>无</w:t>
            </w:r>
          </w:p>
        </w:tc>
      </w:tr>
    </w:tbl>
    <w:p w14:paraId="6D1044D0">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decorative"/>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s>
  <w:rsids>
    <w:rsidRoot w:val="001E5CDA"/>
    <w:rsid w:val="000254D6"/>
    <w:rsid w:val="00137019"/>
    <w:rsid w:val="001E5CDA"/>
    <w:rsid w:val="00AE09FB"/>
    <w:rsid w:val="00EE20F3"/>
    <w:rsid w:val="07996868"/>
    <w:rsid w:val="0C771E12"/>
    <w:rsid w:val="0D79298D"/>
    <w:rsid w:val="0FBC30F4"/>
    <w:rsid w:val="117F61F0"/>
    <w:rsid w:val="16707C20"/>
    <w:rsid w:val="17E22656"/>
    <w:rsid w:val="23931F66"/>
    <w:rsid w:val="2473652D"/>
    <w:rsid w:val="24DE5462"/>
    <w:rsid w:val="27052EC1"/>
    <w:rsid w:val="296348D8"/>
    <w:rsid w:val="2A111E36"/>
    <w:rsid w:val="2A24600D"/>
    <w:rsid w:val="2B033176"/>
    <w:rsid w:val="2BC50FE3"/>
    <w:rsid w:val="2F2919D0"/>
    <w:rsid w:val="2FA70495"/>
    <w:rsid w:val="303C36D2"/>
    <w:rsid w:val="314B0324"/>
    <w:rsid w:val="33D8698B"/>
    <w:rsid w:val="37D5281F"/>
    <w:rsid w:val="3B3B11C3"/>
    <w:rsid w:val="3C9B48E8"/>
    <w:rsid w:val="3E021D6A"/>
    <w:rsid w:val="3E9C7C9C"/>
    <w:rsid w:val="3EC66305"/>
    <w:rsid w:val="43BA548A"/>
    <w:rsid w:val="46F550A6"/>
    <w:rsid w:val="4A31406F"/>
    <w:rsid w:val="4BA6413B"/>
    <w:rsid w:val="4BF947AC"/>
    <w:rsid w:val="4D7E008B"/>
    <w:rsid w:val="4ECA2430"/>
    <w:rsid w:val="4F1D0F1F"/>
    <w:rsid w:val="52946FDD"/>
    <w:rsid w:val="53514ECE"/>
    <w:rsid w:val="545F69E6"/>
    <w:rsid w:val="56D7393C"/>
    <w:rsid w:val="5C5B5395"/>
    <w:rsid w:val="5CD65E0C"/>
    <w:rsid w:val="61EC0466"/>
    <w:rsid w:val="696541D7"/>
    <w:rsid w:val="6E526272"/>
    <w:rsid w:val="6F59718C"/>
    <w:rsid w:val="70343755"/>
    <w:rsid w:val="71BE777B"/>
    <w:rsid w:val="72695938"/>
    <w:rsid w:val="72A148C0"/>
    <w:rsid w:val="73AF7CC3"/>
    <w:rsid w:val="77F7579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qFormat/>
    <w:uiPriority w:val="0"/>
    <w:pPr>
      <w:spacing w:line="400" w:lineRule="exact"/>
    </w:pPr>
    <w:rPr>
      <w:sz w:val="28"/>
    </w:rPr>
  </w:style>
  <w:style w:type="paragraph" w:styleId="5">
    <w:name w:val="List Bullet 5"/>
    <w:basedOn w:val="1"/>
    <w:semiHidden/>
    <w:unhideWhenUsed/>
    <w:qFormat/>
    <w:uiPriority w:val="99"/>
    <w:pPr>
      <w:numPr>
        <w:ilvl w:val="0"/>
        <w:numId w:val="1"/>
      </w:numPr>
    </w:pPr>
  </w:style>
  <w:style w:type="paragraph" w:styleId="6">
    <w:name w:val="Body Text First Indent"/>
    <w:basedOn w:val="4"/>
    <w:next w:val="1"/>
    <w:unhideWhenUsed/>
    <w:qFormat/>
    <w:uiPriority w:val="0"/>
    <w:pPr>
      <w:ind w:firstLine="420" w:firstLineChars="100"/>
    </w:p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0">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898</Words>
  <Characters>933</Characters>
  <Lines>13</Lines>
  <Paragraphs>3</Paragraphs>
  <TotalTime>53</TotalTime>
  <ScaleCrop>false</ScaleCrop>
  <LinksUpToDate>false</LinksUpToDate>
  <CharactersWithSpaces>933</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晴天</cp:lastModifiedBy>
  <dcterms:modified xsi:type="dcterms:W3CDTF">2024-10-22T06:31:58Z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94860026EB3B4334A86938CA00B9B21C_12</vt:lpwstr>
  </property>
</Properties>
</file>