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C4187A">
      <w:pPr>
        <w:jc w:val="center"/>
        <w:rPr>
          <w:rFonts w:hint="eastAsia" w:ascii="宋体" w:hAnsi="宋体" w:eastAsia="宋体" w:cs="宋体"/>
          <w:color w:val="auto"/>
          <w:sz w:val="44"/>
          <w:szCs w:val="44"/>
          <w:lang w:val="en-US" w:eastAsia="zh-CN"/>
        </w:rPr>
      </w:pPr>
    </w:p>
    <w:p w14:paraId="3A3DFD13">
      <w:pPr>
        <w:jc w:val="center"/>
        <w:rPr>
          <w:rFonts w:hint="eastAsia" w:ascii="宋体" w:hAnsi="宋体" w:eastAsia="宋体" w:cs="宋体"/>
          <w:color w:val="auto"/>
          <w:spacing w:val="0"/>
          <w:sz w:val="32"/>
          <w:szCs w:val="32"/>
          <w:lang w:eastAsia="zh-CN"/>
        </w:rPr>
      </w:pPr>
    </w:p>
    <w:p w14:paraId="60FEE34F">
      <w:pPr>
        <w:tabs>
          <w:tab w:val="left" w:pos="4410"/>
        </w:tabs>
        <w:jc w:val="center"/>
        <w:rPr>
          <w:rFonts w:hint="eastAsia" w:ascii="仿宋_GB2312" w:hAnsi="仿宋_GB2312" w:eastAsia="仿宋_GB2312" w:cs="仿宋_GB2312"/>
          <w:color w:val="auto"/>
          <w:spacing w:val="0"/>
          <w:sz w:val="32"/>
          <w:szCs w:val="32"/>
          <w:lang w:eastAsia="zh-CN"/>
        </w:rPr>
      </w:pPr>
    </w:p>
    <w:p w14:paraId="4D1B2B74">
      <w:pPr>
        <w:jc w:val="center"/>
        <w:rPr>
          <w:rFonts w:hint="eastAsia" w:ascii="仿宋_GB2312" w:hAnsi="仿宋_GB2312" w:eastAsia="仿宋_GB2312" w:cs="仿宋_GB2312"/>
          <w:color w:val="auto"/>
          <w:spacing w:val="0"/>
          <w:sz w:val="32"/>
          <w:szCs w:val="32"/>
          <w:lang w:eastAsia="zh-CN"/>
        </w:rPr>
      </w:pPr>
    </w:p>
    <w:p w14:paraId="7621D5DA">
      <w:pPr>
        <w:jc w:val="center"/>
        <w:rPr>
          <w:rFonts w:hint="eastAsia" w:ascii="仿宋_GB2312" w:hAnsi="仿宋_GB2312" w:eastAsia="仿宋_GB2312" w:cs="仿宋_GB2312"/>
          <w:color w:val="auto"/>
          <w:spacing w:val="0"/>
          <w:sz w:val="32"/>
          <w:szCs w:val="32"/>
          <w:lang w:eastAsia="zh-CN"/>
        </w:rPr>
      </w:pPr>
    </w:p>
    <w:p w14:paraId="22B332D4">
      <w:pPr>
        <w:jc w:val="center"/>
        <w:rPr>
          <w:rFonts w:hint="eastAsia" w:ascii="仿宋_GB2312" w:hAnsi="仿宋_GB2312" w:eastAsia="仿宋_GB2312" w:cs="仿宋_GB2312"/>
          <w:color w:val="auto"/>
          <w:spacing w:val="0"/>
          <w:sz w:val="32"/>
          <w:szCs w:val="32"/>
          <w:lang w:eastAsia="zh-CN"/>
        </w:rPr>
      </w:pPr>
    </w:p>
    <w:p w14:paraId="392AC48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2880" w:firstLineChars="900"/>
        <w:jc w:val="left"/>
        <w:textAlignment w:val="auto"/>
        <w:outlineLvl w:val="9"/>
        <w:rPr>
          <w:rFonts w:hint="eastAsia" w:ascii="仿宋_GB2312" w:hAnsi="仿宋_GB2312" w:eastAsia="仿宋_GB2312" w:cs="仿宋_GB2312"/>
          <w:color w:val="auto"/>
          <w:spacing w:val="0"/>
          <w:sz w:val="24"/>
          <w:szCs w:val="24"/>
          <w:lang w:val="en-US" w:eastAsia="zh-CN"/>
        </w:rPr>
      </w:pPr>
      <w:r>
        <w:rPr>
          <w:rFonts w:hint="eastAsia" w:ascii="仿宋_GB2312" w:hAnsi="仿宋_GB2312" w:eastAsia="仿宋_GB2312" w:cs="仿宋_GB2312"/>
          <w:color w:val="auto"/>
          <w:spacing w:val="0"/>
          <w:sz w:val="32"/>
          <w:szCs w:val="32"/>
          <w:lang w:eastAsia="zh-CN"/>
        </w:rPr>
        <w:t>扶环审</w:t>
      </w:r>
      <w:r>
        <w:rPr>
          <w:rFonts w:hint="eastAsia" w:ascii="仿宋_GB2312" w:hAnsi="仿宋_GB2312" w:eastAsia="仿宋_GB2312" w:cs="仿宋_GB2312"/>
          <w:color w:val="auto"/>
          <w:spacing w:val="0"/>
          <w:sz w:val="32"/>
          <w:szCs w:val="32"/>
          <w:lang w:val="en-US" w:eastAsia="zh-CN"/>
        </w:rPr>
        <w:t>[</w:t>
      </w:r>
      <w:r>
        <w:rPr>
          <w:rFonts w:hint="eastAsia" w:ascii="仿宋_GB2312" w:hAnsi="仿宋_GB2312" w:eastAsia="仿宋_GB2312" w:cs="仿宋_GB2312"/>
          <w:color w:val="auto"/>
          <w:spacing w:val="0"/>
          <w:sz w:val="32"/>
          <w:szCs w:val="32"/>
        </w:rPr>
        <w:t>20</w:t>
      </w:r>
      <w:r>
        <w:rPr>
          <w:rFonts w:hint="eastAsia" w:ascii="仿宋_GB2312" w:hAnsi="仿宋_GB2312" w:eastAsia="仿宋_GB2312" w:cs="仿宋_GB2312"/>
          <w:color w:val="auto"/>
          <w:spacing w:val="0"/>
          <w:sz w:val="32"/>
          <w:szCs w:val="32"/>
          <w:lang w:val="en-US" w:eastAsia="zh-CN"/>
        </w:rPr>
        <w:t>26]04</w:t>
      </w:r>
      <w:r>
        <w:rPr>
          <w:rFonts w:hint="eastAsia" w:ascii="仿宋_GB2312" w:hAnsi="仿宋_GB2312" w:eastAsia="仿宋_GB2312" w:cs="仿宋_GB2312"/>
          <w:color w:val="auto"/>
          <w:spacing w:val="0"/>
          <w:sz w:val="32"/>
          <w:szCs w:val="32"/>
        </w:rPr>
        <w:t>号</w:t>
      </w:r>
    </w:p>
    <w:p w14:paraId="319D2F77">
      <w:pPr>
        <w:keepNext w:val="0"/>
        <w:keepLines w:val="0"/>
        <w:pageBreakBefore w:val="0"/>
        <w:widowControl w:val="0"/>
        <w:kinsoku/>
        <w:wordWrap/>
        <w:overflowPunct/>
        <w:topLinePunct w:val="0"/>
        <w:autoSpaceDE/>
        <w:autoSpaceDN/>
        <w:bidi w:val="0"/>
        <w:adjustRightInd/>
        <w:snapToGrid/>
        <w:spacing w:line="860" w:lineRule="exact"/>
        <w:ind w:left="0" w:leftChars="0" w:right="0" w:rightChars="0" w:firstLine="0" w:firstLineChars="0"/>
        <w:jc w:val="center"/>
        <w:textAlignment w:val="auto"/>
        <w:outlineLvl w:val="9"/>
        <w:rPr>
          <w:rFonts w:hint="eastAsia" w:ascii="仿宋_GB2312" w:hAnsi="仿宋_GB2312" w:eastAsia="仿宋_GB2312" w:cs="仿宋_GB2312"/>
          <w:color w:val="auto"/>
          <w:spacing w:val="0"/>
          <w:sz w:val="44"/>
          <w:szCs w:val="44"/>
          <w:lang w:val="en-US" w:eastAsia="zh-CN"/>
        </w:rPr>
      </w:pPr>
      <w:r>
        <w:rPr>
          <w:rFonts w:hint="eastAsia" w:ascii="仿宋_GB2312" w:hAnsi="仿宋_GB2312" w:eastAsia="仿宋_GB2312" w:cs="仿宋_GB2312"/>
          <w:color w:val="auto"/>
          <w:spacing w:val="0"/>
          <w:sz w:val="44"/>
          <w:szCs w:val="44"/>
          <w:lang w:val="en-US" w:eastAsia="zh-CN"/>
        </w:rPr>
        <w:t xml:space="preserve">                </w:t>
      </w:r>
    </w:p>
    <w:p w14:paraId="2916B804">
      <w:pPr>
        <w:widowControl/>
        <w:spacing w:line="240" w:lineRule="atLeast"/>
        <w:ind w:right="480"/>
        <w:jc w:val="center"/>
        <w:rPr>
          <w:rFonts w:hint="eastAsia" w:asciiTheme="majorEastAsia" w:hAnsiTheme="majorEastAsia" w:eastAsiaTheme="majorEastAsia" w:cstheme="majorEastAsia"/>
          <w:b/>
          <w:sz w:val="36"/>
          <w:szCs w:val="36"/>
          <w:lang w:val="en-US" w:eastAsia="zh-CN"/>
        </w:rPr>
      </w:pPr>
      <w:r>
        <w:rPr>
          <w:rFonts w:hint="eastAsia" w:asciiTheme="majorEastAsia" w:hAnsiTheme="majorEastAsia" w:eastAsiaTheme="majorEastAsia" w:cstheme="majorEastAsia"/>
          <w:b/>
          <w:sz w:val="36"/>
          <w:szCs w:val="36"/>
          <w:lang w:val="en-US" w:eastAsia="zh-CN"/>
        </w:rPr>
        <w:t>关于扶沟县军胜汽车零部件及特种模型项目</w:t>
      </w:r>
    </w:p>
    <w:p w14:paraId="0C68BC15">
      <w:pPr>
        <w:widowControl/>
        <w:spacing w:line="240" w:lineRule="atLeast"/>
        <w:ind w:right="480"/>
        <w:jc w:val="center"/>
        <w:rPr>
          <w:rFonts w:hint="eastAsia" w:asciiTheme="majorEastAsia" w:hAnsiTheme="majorEastAsia" w:eastAsiaTheme="majorEastAsia" w:cstheme="majorEastAsia"/>
          <w:b/>
          <w:sz w:val="36"/>
          <w:szCs w:val="36"/>
        </w:rPr>
      </w:pPr>
      <w:r>
        <w:rPr>
          <w:rFonts w:hint="eastAsia" w:asciiTheme="majorEastAsia" w:hAnsiTheme="majorEastAsia" w:eastAsiaTheme="majorEastAsia" w:cstheme="majorEastAsia"/>
          <w:b/>
          <w:sz w:val="36"/>
          <w:szCs w:val="36"/>
        </w:rPr>
        <w:t>环境影响报告表的批复</w:t>
      </w:r>
    </w:p>
    <w:p w14:paraId="4C1B7AE2">
      <w:pPr>
        <w:widowControl w:val="0"/>
        <w:wordWrap/>
        <w:adjustRightInd/>
        <w:snapToGrid/>
        <w:spacing w:line="240" w:lineRule="auto"/>
        <w:ind w:right="0"/>
        <w:textAlignment w:val="auto"/>
        <w:outlineLvl w:val="9"/>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 xml:space="preserve">河南军胜壹号科技有限公司： </w:t>
      </w:r>
    </w:p>
    <w:p w14:paraId="5D6346B3">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你公司（统一社会信用代码91411621MAEJCM3Y2E）报送的由河南景晔环保科技有限公司编制的《扶沟县军胜汽车零部件及特种模型项目环境影响报告表》（以下简称《报告表》）已收悉，该项目审批事项在周口市生态环境局网站公示期满。根据有关法律法规规定，经研究，批复如下：</w:t>
      </w:r>
    </w:p>
    <w:p w14:paraId="112F9EEF">
      <w:pPr>
        <w:keepNext w:val="0"/>
        <w:keepLines w:val="0"/>
        <w:pageBreakBefore w:val="0"/>
        <w:widowControl/>
        <w:numPr>
          <w:ilvl w:val="0"/>
          <w:numId w:val="2"/>
        </w:numPr>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项目为新建项目，</w:t>
      </w:r>
      <w:r>
        <w:rPr>
          <w:rFonts w:hint="default" w:ascii="仿宋_GB2312" w:hAnsi="仿宋_GB2312" w:eastAsia="仿宋_GB2312" w:cs="仿宋_GB2312"/>
          <w:b w:val="0"/>
          <w:bCs w:val="0"/>
          <w:kern w:val="0"/>
          <w:sz w:val="32"/>
          <w:szCs w:val="32"/>
          <w:lang w:val="en-US" w:eastAsia="zh-CN"/>
        </w:rPr>
        <w:t xml:space="preserve">占地 </w:t>
      </w:r>
      <w:r>
        <w:rPr>
          <w:rFonts w:hint="eastAsia" w:ascii="仿宋_GB2312" w:hAnsi="仿宋_GB2312" w:eastAsia="仿宋_GB2312" w:cs="仿宋_GB2312"/>
          <w:b w:val="0"/>
          <w:bCs w:val="0"/>
          <w:kern w:val="0"/>
          <w:sz w:val="32"/>
          <w:szCs w:val="32"/>
          <w:lang w:val="en-US" w:eastAsia="zh-CN"/>
        </w:rPr>
        <w:t>41284.3</w:t>
      </w:r>
      <w:r>
        <w:rPr>
          <w:rFonts w:hint="default" w:ascii="仿宋_GB2312" w:hAnsi="仿宋_GB2312" w:eastAsia="仿宋_GB2312" w:cs="仿宋_GB2312"/>
          <w:b w:val="0"/>
          <w:bCs w:val="0"/>
          <w:kern w:val="0"/>
          <w:sz w:val="32"/>
          <w:szCs w:val="32"/>
          <w:lang w:val="en-US" w:eastAsia="zh-CN"/>
        </w:rPr>
        <w:t xml:space="preserve"> 平方米，</w:t>
      </w:r>
      <w:r>
        <w:rPr>
          <w:rFonts w:hint="eastAsia" w:ascii="仿宋_GB2312" w:hAnsi="仿宋_GB2312" w:eastAsia="仿宋_GB2312" w:cs="仿宋_GB2312"/>
          <w:b w:val="0"/>
          <w:bCs w:val="0"/>
          <w:kern w:val="0"/>
          <w:sz w:val="32"/>
          <w:szCs w:val="32"/>
          <w:lang w:val="en-US" w:eastAsia="zh-CN"/>
        </w:rPr>
        <w:t>位于周口市扶沟县先进制造业开发区扶沟县园区二路北侧、银河路西侧、新村南路南侧；建成后年产2000套汽车零部件及2000套特种模型。生产工艺：钢板、圆钢、无缝钢管-下料切割-冲压-折弯-焊接-车削-钻孔-打磨抛光-组装-喷底漆-晾干-喷面漆-晾干-调试检验-成品；主要设备：激光切割机、数控折弯机、敲板机、液压压管机、螺杆空压机、数控车床、卷板机、锥形卷板机、锯床、钻铣床、打磨机、二氧化碳气体保护焊机、喷漆房等。</w:t>
      </w:r>
    </w:p>
    <w:p w14:paraId="1F83E5A5">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kern w:val="0"/>
          <w:sz w:val="32"/>
          <w:szCs w:val="32"/>
          <w:lang w:val="en-US" w:eastAsia="zh-CN"/>
        </w:rPr>
        <w:t>二、你公司应向社会公众主动公开经批准的《报告表》，并接受相关方的咨询。</w:t>
      </w:r>
    </w:p>
    <w:p w14:paraId="1DE0B66E">
      <w:pPr>
        <w:pStyle w:val="11"/>
        <w:widowControl/>
        <w:numPr>
          <w:ilvl w:val="0"/>
          <w:numId w:val="0"/>
        </w:numPr>
        <w:adjustRightInd/>
        <w:snapToGrid/>
        <w:spacing w:line="240" w:lineRule="auto"/>
        <w:jc w:val="left"/>
        <w:rPr>
          <w:rFonts w:hint="eastAsia" w:ascii="仿宋_GB2312" w:hAnsi="仿宋_GB2312" w:eastAsia="仿宋_GB2312" w:cs="仿宋_GB2312"/>
          <w:kern w:val="0"/>
          <w:sz w:val="32"/>
          <w:szCs w:val="32"/>
          <w:lang w:val="en-US" w:eastAsia="zh-CN"/>
        </w:rPr>
      </w:pPr>
      <w:r>
        <w:rPr>
          <w:rFonts w:hint="eastAsia"/>
          <w:lang w:val="en-US" w:eastAsia="zh-CN"/>
        </w:rPr>
        <w:t xml:space="preserve"> </w:t>
      </w:r>
      <w:r>
        <w:rPr>
          <w:rFonts w:hint="eastAsia" w:ascii="仿宋_GB2312" w:hAnsi="仿宋_GB2312" w:eastAsia="仿宋_GB2312" w:cs="仿宋_GB2312"/>
          <w:kern w:val="0"/>
          <w:sz w:val="32"/>
          <w:szCs w:val="32"/>
          <w:lang w:val="en-US" w:eastAsia="zh-CN"/>
        </w:rPr>
        <w:t xml:space="preserve">   三、你公司应全面落实《报告表》提出的各项环境保护措施，严格执行“三同时”制度并控制环境风验，确保各项污染物达标排放。</w:t>
      </w:r>
    </w:p>
    <w:p w14:paraId="7C017303">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（一）向设计单位提供《报告表》和本批复文件，确保项目设计按照环境保护设计规范要求，落实防治环境污染和生态破坏的措施。</w:t>
      </w:r>
    </w:p>
    <w:p w14:paraId="6F45CAB0">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二）项目建设时，加强项目施工期环境管理，对建设单位在施工过程中产生的废气、废水、噪声、固废等污染，以及因施工对自然、生态环境造成破坏，应采取相应的防治措施，全面落实环评中提出的施工期各项环保措施和要求。加强施工期扬尘污染治理，做到“六个到位”、“六个百分之百”、“两个禁止”。</w:t>
      </w:r>
    </w:p>
    <w:p w14:paraId="5FE52B7C">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（三）项目运行时，外排污染物应满足以下要求：</w:t>
      </w:r>
    </w:p>
    <w:p w14:paraId="54D61902">
      <w:pPr>
        <w:pStyle w:val="4"/>
        <w:spacing w:before="113" w:line="338" w:lineRule="auto"/>
        <w:ind w:right="261" w:firstLine="640" w:firstLineChars="200"/>
        <w:jc w:val="both"/>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1.废水。落实《报告表》提出的各项废水治理措施。项目水性漆调配水晾干时自然蒸发，不外排。生活污水经化粪池处理后满足《污水综合排放标准》（GB8978-1996）表4三级标准，同时满足扶沟县产业集聚区污水处理厂收水水质要求，经市政污水管网进入扶沟县产业集聚区污水处理厂深度处理后达标排放。</w:t>
      </w:r>
    </w:p>
    <w:p w14:paraId="571CE3AA">
      <w:pPr>
        <w:pStyle w:val="4"/>
        <w:spacing w:before="113" w:line="338" w:lineRule="auto"/>
        <w:ind w:right="261" w:firstLine="640" w:firstLineChars="200"/>
        <w:jc w:val="both"/>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2.废气。落实《报告表》提出的各项废气治理措施和关于排气筒的要求。</w:t>
      </w:r>
      <w:r>
        <w:rPr>
          <w:rFonts w:hint="default" w:ascii="仿宋_GB2312" w:hAnsi="仿宋_GB2312" w:eastAsia="仿宋_GB2312" w:cs="仿宋_GB2312"/>
          <w:kern w:val="0"/>
          <w:sz w:val="32"/>
          <w:szCs w:val="32"/>
          <w:lang w:val="en-US" w:eastAsia="zh-CN"/>
        </w:rPr>
        <w:t>切割废气、焊接废气、打磨抛光废气经袋式除尘器处理后</w:t>
      </w:r>
      <w:r>
        <w:rPr>
          <w:rFonts w:hint="eastAsia" w:ascii="仿宋_GB2312" w:hAnsi="仿宋_GB2312" w:eastAsia="仿宋_GB2312" w:cs="仿宋_GB2312"/>
          <w:kern w:val="0"/>
          <w:sz w:val="32"/>
          <w:szCs w:val="32"/>
          <w:lang w:val="en-US" w:eastAsia="zh-CN"/>
        </w:rPr>
        <w:t>通过15m高排气筒排放</w:t>
      </w:r>
      <w:r>
        <w:rPr>
          <w:rFonts w:hint="default" w:ascii="仿宋_GB2312" w:hAnsi="仿宋_GB2312" w:eastAsia="仿宋_GB2312" w:cs="仿宋_GB2312"/>
          <w:kern w:val="0"/>
          <w:sz w:val="32"/>
          <w:szCs w:val="32"/>
          <w:lang w:val="en-US" w:eastAsia="zh-CN"/>
        </w:rPr>
        <w:t>，颗粒物排放浓度与排放速率能够满足《大气污染物综合排放标准》（GB16297-1996）表2 二级标准（排气筒高度15m 时，颗粒物最高允许排放浓度为 120mg/m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，最高允许排放速率为 3.5kg/h）</w:t>
      </w:r>
      <w:r>
        <w:rPr>
          <w:rFonts w:hint="eastAsia" w:ascii="仿宋_GB2312" w:hAnsi="仿宋_GB2312" w:eastAsia="仿宋_GB2312" w:cs="仿宋_GB2312"/>
          <w:kern w:val="0"/>
          <w:sz w:val="32"/>
          <w:szCs w:val="32"/>
          <w:lang w:val="en-US" w:eastAsia="zh-CN"/>
        </w:rPr>
        <w:t>及《河南省重污染天气通用行业应急减排措施制定技术指南》（2024 年修订版）中通用行业涉PM、VOCs 绩效引领性指标</w:t>
      </w:r>
      <w:r>
        <w:rPr>
          <w:rFonts w:hint="default" w:ascii="仿宋_GB2312" w:hAnsi="仿宋_GB2312" w:eastAsia="仿宋_GB2312" w:cs="仿宋_GB2312"/>
          <w:kern w:val="0"/>
          <w:sz w:val="32"/>
          <w:szCs w:val="32"/>
          <w:lang w:val="en-US" w:eastAsia="zh-CN"/>
        </w:rPr>
        <w:t>的要求。</w:t>
      </w:r>
    </w:p>
    <w:p w14:paraId="23879AB0">
      <w:pPr>
        <w:pStyle w:val="4"/>
        <w:spacing w:before="113" w:line="338" w:lineRule="auto"/>
        <w:ind w:right="261" w:firstLine="640" w:firstLineChars="200"/>
        <w:jc w:val="both"/>
        <w:rPr>
          <w:rFonts w:hint="default" w:ascii="仿宋_GB2312" w:hAnsi="仿宋_GB2312" w:eastAsia="仿宋_GB2312" w:cs="仿宋_GB2312"/>
          <w:kern w:val="0"/>
          <w:sz w:val="32"/>
          <w:szCs w:val="32"/>
          <w:lang w:val="en-US" w:eastAsia="zh-CN"/>
        </w:rPr>
      </w:pPr>
      <w:r>
        <w:rPr>
          <w:rFonts w:hint="default" w:ascii="仿宋_GB2312" w:hAnsi="仿宋_GB2312" w:eastAsia="仿宋_GB2312" w:cs="仿宋_GB2312"/>
          <w:kern w:val="0"/>
          <w:sz w:val="32"/>
          <w:szCs w:val="32"/>
          <w:lang w:val="en-US" w:eastAsia="zh-CN"/>
        </w:rPr>
        <w:t>调漆、喷漆及晾干废气经负压收集+干式过滤箱+活性炭吸附浓缩+催化燃烧装置（TA002）+15m 高排气筒（DA002）排放。漆雾排放速率及排放浓度能够满足《大气污染物综合排放标准》（GB16297-1996）表 2二级标准（排气筒高度 15m 时，颗粒物最高允许排放浓度为120mg/m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，最高允许排放速率为3.5kg/h）的要求；非甲烷总烃、二甲苯排放浓度均能够满足河南省《工业涂装工序挥发性有机物排放标准》（DB41/1951-2020）表1中非甲烷总烃≤50mg/m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、二甲苯≤20mg/m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（甲苯与二甲苯合计）、《关于全省开展工业企业挥发性有机物专项治理工作中排放建议值的通知》（豫环攻坚办〔2017〕162 号文）附件 1 表面涂装业-有机废气中“非甲烷总烃：60mg/m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，甲苯与二甲苯：20mg/m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”排放限值要求，非甲烷总烃排放浓度同时满足《重污染天气重点行业应急减排措施制定技术指南（2020 年修订版）-工业涂装行业 A 级企业要求（NMHC 排放浓度限值：20-30mg/m</w:t>
      </w:r>
      <w:r>
        <w:rPr>
          <w:rFonts w:hint="default" w:ascii="仿宋_GB2312" w:hAnsi="仿宋_GB2312" w:eastAsia="仿宋_GB2312" w:cs="仿宋_GB2312"/>
          <w:kern w:val="0"/>
          <w:sz w:val="32"/>
          <w:szCs w:val="32"/>
          <w:vertAlign w:val="superscript"/>
          <w:lang w:val="en-US" w:eastAsia="zh-CN"/>
        </w:rPr>
        <w:t>3</w:t>
      </w:r>
      <w:r>
        <w:rPr>
          <w:rFonts w:hint="default" w:ascii="仿宋_GB2312" w:hAnsi="仿宋_GB2312" w:eastAsia="仿宋_GB2312" w:cs="仿宋_GB2312"/>
          <w:kern w:val="0"/>
          <w:sz w:val="32"/>
          <w:szCs w:val="32"/>
          <w:lang w:val="en-US" w:eastAsia="zh-CN"/>
        </w:rPr>
        <w:t>）。</w:t>
      </w:r>
    </w:p>
    <w:p w14:paraId="7BA8286D">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default" w:ascii="仿宋_GB2312" w:hAnsi="仿宋_GB2312" w:eastAsia="仿宋_GB2312" w:cs="仿宋_GB2312"/>
          <w:kern w:val="0"/>
          <w:sz w:val="32"/>
          <w:szCs w:val="32"/>
          <w:lang w:val="en-US" w:eastAsia="zh-CN"/>
        </w:rPr>
        <w:t>食堂油烟经高效油烟净化器处理后排放浓度满足《河南省地方标准-餐饮业油烟污染物排放标准》（DB41/1604-2018）（小型餐饮油烟排放浓度≤1.5mg/m</w:t>
      </w:r>
      <w:bookmarkStart w:id="0" w:name="_GoBack"/>
      <w:r>
        <w:rPr>
          <w:rFonts w:hint="default" w:ascii="仿宋_GB2312" w:hAnsi="仿宋_GB2312" w:eastAsia="仿宋_GB2312" w:cs="仿宋_GB2312"/>
          <w:kern w:val="0"/>
          <w:sz w:val="32"/>
          <w:szCs w:val="32"/>
          <w:vertAlign w:val="superscript"/>
          <w:lang w:val="en-US" w:eastAsia="zh-CN"/>
        </w:rPr>
        <w:t>3</w:t>
      </w:r>
      <w:bookmarkEnd w:id="0"/>
      <w:r>
        <w:rPr>
          <w:rFonts w:hint="default" w:ascii="仿宋_GB2312" w:hAnsi="仿宋_GB2312" w:eastAsia="仿宋_GB2312" w:cs="仿宋_GB2312"/>
          <w:kern w:val="0"/>
          <w:sz w:val="32"/>
          <w:szCs w:val="32"/>
          <w:lang w:val="en-US" w:eastAsia="zh-CN"/>
        </w:rPr>
        <w:t>）的要求。</w:t>
      </w:r>
    </w:p>
    <w:p w14:paraId="68152ABA">
      <w:pPr>
        <w:pStyle w:val="4"/>
        <w:spacing w:before="113" w:line="338" w:lineRule="auto"/>
        <w:ind w:right="261" w:firstLine="640" w:firstLineChars="200"/>
        <w:jc w:val="both"/>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3.噪声。项目运营期噪声经基础减震、厂房隔声、合理布局、选用低噪声设备等降噪措施后，厂界噪声值满足《工业企业厂界环境噪声排放标准》（GB12348-2008）3类标准要求。</w:t>
      </w:r>
    </w:p>
    <w:p w14:paraId="1801A9EC">
      <w:pPr>
        <w:pStyle w:val="4"/>
        <w:spacing w:before="113" w:line="338" w:lineRule="auto"/>
        <w:ind w:right="261"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4．固体废物。</w:t>
      </w:r>
      <w:r>
        <w:rPr>
          <w:rFonts w:hint="default" w:ascii="仿宋_GB2312" w:hAnsi="仿宋_GB2312" w:eastAsia="仿宋_GB2312" w:cs="仿宋_GB2312"/>
          <w:kern w:val="0"/>
          <w:sz w:val="32"/>
          <w:szCs w:val="32"/>
          <w:lang w:val="en-US" w:eastAsia="zh-CN"/>
        </w:rPr>
        <w:t>项目固体废物采取分类处置和综合利用措施，各类固体废物贮存、处置应满足《固体废物污染环境防治法》及《危险废物贮存污染控制标准》（GB18597-2023）等要求，避免对环境造成二次污染。</w:t>
      </w:r>
    </w:p>
    <w:p w14:paraId="2903C086">
      <w:pPr>
        <w:keepNext w:val="0"/>
        <w:keepLines w:val="0"/>
        <w:widowControl/>
        <w:numPr>
          <w:ilvl w:val="0"/>
          <w:numId w:val="0"/>
        </w:numPr>
        <w:suppressLineNumbers w:val="0"/>
        <w:ind w:firstLine="640" w:firstLineChars="200"/>
        <w:jc w:val="left"/>
        <w:rPr>
          <w:rFonts w:hint="default"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kern w:val="0"/>
          <w:sz w:val="32"/>
          <w:szCs w:val="32"/>
          <w:lang w:val="en-US" w:eastAsia="zh-CN"/>
        </w:rPr>
        <w:t>（四）项目主要污染物排放总量控制指标为：化</w:t>
      </w:r>
      <w:r>
        <w:rPr>
          <w:rFonts w:hint="eastAsia" w:ascii="仿宋_GB2312" w:hAnsi="仿宋_GB2312" w:eastAsia="仿宋_GB2312" w:cs="仿宋_GB2312"/>
          <w:color w:val="auto"/>
          <w:kern w:val="0"/>
          <w:sz w:val="32"/>
          <w:szCs w:val="32"/>
          <w:lang w:val="en-US" w:eastAsia="zh-CN"/>
        </w:rPr>
        <w:t>学需</w:t>
      </w:r>
      <w:r>
        <w:rPr>
          <w:rFonts w:hint="eastAsia" w:ascii="仿宋_GB2312" w:hAnsi="仿宋_GB2312" w:eastAsia="仿宋_GB2312" w:cs="仿宋_GB2312"/>
          <w:color w:val="000000"/>
          <w:kern w:val="0"/>
          <w:sz w:val="32"/>
          <w:szCs w:val="32"/>
          <w:lang w:val="en-US" w:eastAsia="zh-CN" w:bidi="ar"/>
        </w:rPr>
        <w:t>氧量0.0571吨/年，氨氮0.0029吨/年，二氧化硫0吨/年，氮氧化物0吨/年，挥发性有机物0.828吨/年，颗粒物0.1516吨/年。</w:t>
      </w:r>
    </w:p>
    <w:p w14:paraId="3186521F">
      <w:pPr>
        <w:keepNext w:val="0"/>
        <w:keepLines w:val="0"/>
        <w:widowControl/>
        <w:suppressLineNumbers w:val="0"/>
        <w:jc w:val="left"/>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　　四、严格落实生态环境保护主体责任，你单位应当对《报告表》的内容和结论负责。</w:t>
      </w:r>
    </w:p>
    <w:p w14:paraId="409B59A2">
      <w:pPr>
        <w:keepNext w:val="0"/>
        <w:keepLines w:val="0"/>
        <w:widowControl/>
        <w:suppressLineNumbers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color w:val="000000"/>
          <w:kern w:val="0"/>
          <w:sz w:val="32"/>
          <w:szCs w:val="32"/>
          <w:lang w:val="en-US" w:eastAsia="zh-CN" w:bidi="ar"/>
        </w:rPr>
        <w:t>五、建设单位应按照《排污许可管理条例》规定的程序和要求向生态环境部门办理排污许可相关手续，做到持证排污、按证排污。项目建成后，应及时组织竣工环境保护验收，经验收合格后方可正式投入运营。</w:t>
      </w:r>
      <w:r>
        <w:rPr>
          <w:rFonts w:hint="eastAsia" w:ascii="仿宋_GB2312" w:hAnsi="仿宋_GB2312" w:eastAsia="仿宋_GB2312" w:cs="仿宋_GB2312"/>
          <w:kern w:val="0"/>
          <w:sz w:val="32"/>
          <w:szCs w:val="32"/>
          <w:lang w:val="en-US" w:eastAsia="zh-CN"/>
        </w:rPr>
        <w:t xml:space="preserve">在生产过程中应加强管理，规范操作，严格执行各项环保政策和要求，由周口市生态环境局扶沟综合行政执法大队负责该项目的日常监督管理工作。 </w:t>
      </w:r>
    </w:p>
    <w:p w14:paraId="7FDBDB0B">
      <w:pPr>
        <w:keepNext w:val="0"/>
        <w:keepLines w:val="0"/>
        <w:widowControl/>
        <w:suppressLineNumbers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color w:val="000000"/>
          <w:kern w:val="0"/>
          <w:sz w:val="32"/>
          <w:szCs w:val="32"/>
          <w:lang w:val="en-US" w:eastAsia="zh-CN" w:bidi="ar"/>
        </w:rPr>
        <w:t>六、</w:t>
      </w:r>
      <w:r>
        <w:rPr>
          <w:rFonts w:hint="eastAsia" w:ascii="仿宋_GB2312" w:hAnsi="仿宋_GB2312" w:eastAsia="仿宋_GB2312" w:cs="仿宋_GB2312"/>
          <w:kern w:val="0"/>
          <w:sz w:val="32"/>
          <w:szCs w:val="32"/>
          <w:lang w:val="en-US" w:eastAsia="zh-CN"/>
        </w:rPr>
        <w:t>如果今后国家或我省颁布污染物排放限值的新标准，届时你公司应按新的排放标准执行。</w:t>
      </w:r>
    </w:p>
    <w:p w14:paraId="55ECE46F">
      <w:pPr>
        <w:keepNext w:val="0"/>
        <w:keepLines w:val="0"/>
        <w:widowControl/>
        <w:suppressLineNumbers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color w:val="000000"/>
          <w:kern w:val="0"/>
          <w:sz w:val="32"/>
          <w:szCs w:val="32"/>
          <w:lang w:val="en-US" w:eastAsia="zh-CN" w:bidi="ar"/>
        </w:rPr>
        <w:t>　　七、</w:t>
      </w:r>
      <w:r>
        <w:rPr>
          <w:rFonts w:hint="eastAsia" w:ascii="仿宋_GB2312" w:hAnsi="仿宋_GB2312" w:eastAsia="仿宋_GB2312" w:cs="仿宋_GB2312"/>
          <w:kern w:val="0"/>
          <w:sz w:val="32"/>
          <w:szCs w:val="32"/>
          <w:lang w:val="en-US" w:eastAsia="zh-CN"/>
        </w:rPr>
        <w:t>本批复有效期为 5 年，如该项目逾期方开工建设，其环境影响报告表应报我局重新审核。项目性质、规模、地点、采用的生产工艺或污染防治措施发生重大变化的，应当重新报批项目的环境影响评价文件。</w:t>
      </w:r>
    </w:p>
    <w:p w14:paraId="529D1BE5">
      <w:pPr>
        <w:widowControl w:val="0"/>
        <w:wordWrap/>
        <w:adjustRightInd/>
        <w:snapToGrid/>
        <w:spacing w:before="0" w:after="0" w:line="580" w:lineRule="exact"/>
        <w:ind w:left="0" w:right="0" w:firstLine="640" w:firstLineChars="200"/>
        <w:jc w:val="both"/>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w:t>
      </w:r>
    </w:p>
    <w:p w14:paraId="50482767">
      <w:pPr>
        <w:widowControl w:val="0"/>
        <w:wordWrap/>
        <w:adjustRightInd/>
        <w:snapToGrid/>
        <w:spacing w:before="0" w:after="0" w:line="580" w:lineRule="exact"/>
        <w:ind w:left="0" w:right="0" w:firstLine="5120" w:firstLineChars="1600"/>
        <w:jc w:val="both"/>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2026</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14</w:t>
      </w:r>
      <w:r>
        <w:rPr>
          <w:rFonts w:hint="eastAsia" w:ascii="仿宋_GB2312" w:hAnsi="仿宋_GB2312" w:eastAsia="仿宋_GB2312" w:cs="仿宋_GB2312"/>
          <w:kern w:val="0"/>
          <w:sz w:val="32"/>
          <w:szCs w:val="32"/>
        </w:rPr>
        <w:t>日</w:t>
      </w:r>
      <w:r>
        <w:rPr>
          <w:rFonts w:hint="eastAsia" w:ascii="仿宋_GB2312" w:hAnsi="仿宋_GB2312" w:eastAsia="仿宋_GB2312" w:cs="仿宋_GB2312"/>
          <w:kern w:val="0"/>
          <w:sz w:val="32"/>
          <w:szCs w:val="32"/>
          <w:lang w:val="en-US" w:eastAsia="zh-CN"/>
        </w:rPr>
        <w:t xml:space="preserve">                        </w:t>
      </w:r>
    </w:p>
    <w:p w14:paraId="13A315BD">
      <w:pPr>
        <w:pStyle w:val="16"/>
        <w:rPr>
          <w:rFonts w:hint="eastAsia"/>
          <w:lang w:val="en-US" w:eastAsia="zh-CN"/>
        </w:rPr>
      </w:pPr>
    </w:p>
    <w:p w14:paraId="31A963C9">
      <w:pPr>
        <w:rPr>
          <w:rFonts w:hint="eastAsia" w:ascii="仿宋_GB2312" w:hAnsi="仿宋_GB2312" w:eastAsia="仿宋_GB2312" w:cs="仿宋_GB2312"/>
          <w:sz w:val="32"/>
          <w:szCs w:val="32"/>
        </w:rPr>
      </w:pPr>
    </w:p>
    <w:sectPr>
      <w:footerReference r:id="rId3" w:type="default"/>
      <w:pgSz w:w="11906" w:h="16838"/>
      <w:pgMar w:top="986" w:right="1349" w:bottom="930" w:left="1349"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BA32B">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00D997D1">
                          <w:pPr>
                            <w:pStyle w:val="9"/>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00D997D1">
                    <w:pPr>
                      <w:pStyle w:val="9"/>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D00912"/>
    <w:multiLevelType w:val="singleLevel"/>
    <w:tmpl w:val="C7D00912"/>
    <w:lvl w:ilvl="0" w:tentative="0">
      <w:start w:val="1"/>
      <w:numFmt w:val="chineseCounting"/>
      <w:suff w:val="nothing"/>
      <w:lvlText w:val="%1、"/>
      <w:lvlJc w:val="left"/>
      <w:rPr>
        <w:rFonts w:hint="eastAsia"/>
      </w:rPr>
    </w:lvl>
  </w:abstractNum>
  <w:abstractNum w:abstractNumId="1">
    <w:nsid w:val="00CD6E26"/>
    <w:multiLevelType w:val="multilevel"/>
    <w:tmpl w:val="00CD6E26"/>
    <w:lvl w:ilvl="0" w:tentative="0">
      <w:start w:val="1"/>
      <w:numFmt w:val="decimal"/>
      <w:suff w:val="nothing"/>
      <w:lvlText w:val="%1."/>
      <w:lvlJc w:val="left"/>
      <w:pPr>
        <w:ind w:left="0" w:firstLine="0"/>
      </w:pPr>
      <w:rPr>
        <w:rFonts w:hint="eastAsia" w:ascii="黑体" w:eastAsia="黑体"/>
        <w:b w:val="0"/>
        <w:i w:val="0"/>
        <w:sz w:val="32"/>
      </w:rPr>
    </w:lvl>
    <w:lvl w:ilvl="1" w:tentative="0">
      <w:start w:val="1"/>
      <w:numFmt w:val="decimal"/>
      <w:suff w:val="nothing"/>
      <w:lvlText w:val="%1.%2."/>
      <w:lvlJc w:val="left"/>
      <w:pPr>
        <w:ind w:left="426" w:firstLine="0"/>
      </w:pPr>
      <w:rPr>
        <w:rFonts w:hint="eastAsia" w:ascii="宋体" w:eastAsia="宋体"/>
        <w:b w:val="0"/>
        <w:i w:val="0"/>
        <w:sz w:val="28"/>
      </w:rPr>
    </w:lvl>
    <w:lvl w:ilvl="2" w:tentative="0">
      <w:start w:val="1"/>
      <w:numFmt w:val="decimal"/>
      <w:suff w:val="nothing"/>
      <w:lvlText w:val="%1.%2.%3."/>
      <w:lvlJc w:val="left"/>
      <w:pPr>
        <w:ind w:left="0" w:firstLine="0"/>
      </w:pPr>
      <w:rPr>
        <w:rFonts w:hint="eastAsia" w:ascii="宋体" w:eastAsia="宋体"/>
        <w:b w:val="0"/>
        <w:i w:val="0"/>
        <w:sz w:val="28"/>
      </w:rPr>
    </w:lvl>
    <w:lvl w:ilvl="3" w:tentative="0">
      <w:start w:val="1"/>
      <w:numFmt w:val="decimal"/>
      <w:pStyle w:val="3"/>
      <w:suff w:val="nothing"/>
      <w:lvlText w:val="%1.%2.%3.%4."/>
      <w:lvlJc w:val="left"/>
      <w:pPr>
        <w:ind w:left="0" w:firstLine="0"/>
      </w:pPr>
      <w:rPr>
        <w:rFonts w:hint="eastAsia" w:ascii="宋体" w:eastAsia="宋体"/>
        <w:b w:val="0"/>
        <w:i w:val="0"/>
        <w:sz w:val="28"/>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QzMTUwODNhMTczNzFjN2JlZmJlODA4Yzc5MTc5ZDIifQ=="/>
  </w:docVars>
  <w:rsids>
    <w:rsidRoot w:val="2B1C0A72"/>
    <w:rsid w:val="003D0E71"/>
    <w:rsid w:val="00F07616"/>
    <w:rsid w:val="03D3398E"/>
    <w:rsid w:val="04500EBA"/>
    <w:rsid w:val="051A266A"/>
    <w:rsid w:val="074C54A9"/>
    <w:rsid w:val="07D16848"/>
    <w:rsid w:val="07DF6DE6"/>
    <w:rsid w:val="0A0851C5"/>
    <w:rsid w:val="0A88666E"/>
    <w:rsid w:val="0AFD7A3F"/>
    <w:rsid w:val="0B73503E"/>
    <w:rsid w:val="0D5A1426"/>
    <w:rsid w:val="10163F61"/>
    <w:rsid w:val="105240C8"/>
    <w:rsid w:val="1254776A"/>
    <w:rsid w:val="14856906"/>
    <w:rsid w:val="15255F8F"/>
    <w:rsid w:val="1564474A"/>
    <w:rsid w:val="15DB7E17"/>
    <w:rsid w:val="15F90F3D"/>
    <w:rsid w:val="16D24589"/>
    <w:rsid w:val="18F22032"/>
    <w:rsid w:val="19143DF6"/>
    <w:rsid w:val="1A653CB6"/>
    <w:rsid w:val="1AA31963"/>
    <w:rsid w:val="1AEB3895"/>
    <w:rsid w:val="1C2C4B6F"/>
    <w:rsid w:val="1D706C6F"/>
    <w:rsid w:val="1F7A4A47"/>
    <w:rsid w:val="1F8623AC"/>
    <w:rsid w:val="200D7847"/>
    <w:rsid w:val="204A284E"/>
    <w:rsid w:val="23C22114"/>
    <w:rsid w:val="24B60CFE"/>
    <w:rsid w:val="250435EE"/>
    <w:rsid w:val="252227BA"/>
    <w:rsid w:val="260F6062"/>
    <w:rsid w:val="268D7833"/>
    <w:rsid w:val="26C151FF"/>
    <w:rsid w:val="28220E93"/>
    <w:rsid w:val="2A347444"/>
    <w:rsid w:val="2A5445F7"/>
    <w:rsid w:val="2AD00B6A"/>
    <w:rsid w:val="2B1C0A72"/>
    <w:rsid w:val="2B3A7DAE"/>
    <w:rsid w:val="2CE144EF"/>
    <w:rsid w:val="2E4274B1"/>
    <w:rsid w:val="2EF91E3D"/>
    <w:rsid w:val="326F6319"/>
    <w:rsid w:val="327F7286"/>
    <w:rsid w:val="331B704F"/>
    <w:rsid w:val="33880343"/>
    <w:rsid w:val="347349FC"/>
    <w:rsid w:val="36F72BED"/>
    <w:rsid w:val="37016C3B"/>
    <w:rsid w:val="384A474A"/>
    <w:rsid w:val="384B03DA"/>
    <w:rsid w:val="38964DA1"/>
    <w:rsid w:val="3AFD2E4F"/>
    <w:rsid w:val="3B3016ED"/>
    <w:rsid w:val="3BEF124E"/>
    <w:rsid w:val="3C093F2E"/>
    <w:rsid w:val="3C254402"/>
    <w:rsid w:val="3C404861"/>
    <w:rsid w:val="3CDB3218"/>
    <w:rsid w:val="3E0E2FE6"/>
    <w:rsid w:val="3E41249E"/>
    <w:rsid w:val="3F422606"/>
    <w:rsid w:val="41412E13"/>
    <w:rsid w:val="41633376"/>
    <w:rsid w:val="43400561"/>
    <w:rsid w:val="45270E73"/>
    <w:rsid w:val="455320F9"/>
    <w:rsid w:val="4B110057"/>
    <w:rsid w:val="4C8D4F3A"/>
    <w:rsid w:val="4D1C3CE0"/>
    <w:rsid w:val="4F1668F2"/>
    <w:rsid w:val="50715EC6"/>
    <w:rsid w:val="51CD6EB0"/>
    <w:rsid w:val="529843D8"/>
    <w:rsid w:val="529F2093"/>
    <w:rsid w:val="531C2F4A"/>
    <w:rsid w:val="54137465"/>
    <w:rsid w:val="541C07E3"/>
    <w:rsid w:val="553A07D0"/>
    <w:rsid w:val="573F58FF"/>
    <w:rsid w:val="57D41513"/>
    <w:rsid w:val="58BF341A"/>
    <w:rsid w:val="594D2BB0"/>
    <w:rsid w:val="5C5B72C4"/>
    <w:rsid w:val="5D0A1119"/>
    <w:rsid w:val="5D873880"/>
    <w:rsid w:val="61646D26"/>
    <w:rsid w:val="62343533"/>
    <w:rsid w:val="62AB5743"/>
    <w:rsid w:val="650B571F"/>
    <w:rsid w:val="65615951"/>
    <w:rsid w:val="66064B69"/>
    <w:rsid w:val="66345A47"/>
    <w:rsid w:val="67031997"/>
    <w:rsid w:val="67D3740B"/>
    <w:rsid w:val="687C6D69"/>
    <w:rsid w:val="69347DB4"/>
    <w:rsid w:val="699A2B43"/>
    <w:rsid w:val="6A6B5DB4"/>
    <w:rsid w:val="6B745E28"/>
    <w:rsid w:val="6EB67113"/>
    <w:rsid w:val="7068303E"/>
    <w:rsid w:val="74CB6485"/>
    <w:rsid w:val="753263BB"/>
    <w:rsid w:val="764D09A9"/>
    <w:rsid w:val="767428F0"/>
    <w:rsid w:val="77A12CDC"/>
    <w:rsid w:val="77C86285"/>
    <w:rsid w:val="78A0631A"/>
    <w:rsid w:val="79A4000E"/>
    <w:rsid w:val="7A145CE8"/>
    <w:rsid w:val="7B12261B"/>
    <w:rsid w:val="7DF57ED6"/>
    <w:rsid w:val="7E776C1B"/>
    <w:rsid w:val="7F264601"/>
    <w:rsid w:val="7FD203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rPr>
  </w:style>
  <w:style w:type="paragraph" w:styleId="2">
    <w:name w:val="heading 1"/>
    <w:basedOn w:val="1"/>
    <w:next w:val="1"/>
    <w:autoRedefine/>
    <w:qFormat/>
    <w:uiPriority w:val="0"/>
    <w:pPr>
      <w:keepNext/>
      <w:spacing w:line="440" w:lineRule="exact"/>
      <w:jc w:val="center"/>
      <w:outlineLvl w:val="0"/>
    </w:pPr>
    <w:rPr>
      <w:rFonts w:ascii="宋体" w:hAnsi="宋体"/>
      <w:sz w:val="28"/>
    </w:rPr>
  </w:style>
  <w:style w:type="paragraph" w:styleId="3">
    <w:name w:val="heading 4"/>
    <w:basedOn w:val="1"/>
    <w:next w:val="1"/>
    <w:autoRedefine/>
    <w:unhideWhenUsed/>
    <w:qFormat/>
    <w:uiPriority w:val="0"/>
    <w:pPr>
      <w:keepNext/>
      <w:keepLines/>
      <w:numPr>
        <w:ilvl w:val="3"/>
        <w:numId w:val="1"/>
      </w:numPr>
      <w:spacing w:line="360" w:lineRule="auto"/>
      <w:ind w:left="200" w:hanging="200" w:hangingChars="200"/>
      <w:outlineLvl w:val="3"/>
    </w:pPr>
    <w:rPr>
      <w:rFonts w:ascii="仿宋_GB2312" w:hAnsi="Arial" w:eastAsia="仿宋_GB2312"/>
      <w:sz w:val="28"/>
      <w:szCs w:val="28"/>
    </w:rPr>
  </w:style>
  <w:style w:type="character" w:default="1" w:styleId="13">
    <w:name w:val="Default Paragraph Font"/>
    <w:autoRedefine/>
    <w:semiHidden/>
    <w:qFormat/>
    <w:uiPriority w:val="0"/>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4">
    <w:name w:val="Body Text"/>
    <w:basedOn w:val="1"/>
    <w:autoRedefine/>
    <w:qFormat/>
    <w:uiPriority w:val="0"/>
    <w:pPr>
      <w:spacing w:line="400" w:lineRule="exact"/>
    </w:pPr>
    <w:rPr>
      <w:sz w:val="28"/>
    </w:rPr>
  </w:style>
  <w:style w:type="paragraph" w:styleId="5">
    <w:name w:val="Body Text Indent"/>
    <w:basedOn w:val="1"/>
    <w:next w:val="6"/>
    <w:autoRedefine/>
    <w:qFormat/>
    <w:uiPriority w:val="0"/>
    <w:pPr>
      <w:widowControl/>
      <w:snapToGrid w:val="0"/>
      <w:spacing w:line="360" w:lineRule="auto"/>
      <w:ind w:firstLine="570"/>
      <w:jc w:val="left"/>
    </w:pPr>
    <w:rPr>
      <w:kern w:val="0"/>
      <w:sz w:val="28"/>
    </w:rPr>
  </w:style>
  <w:style w:type="paragraph" w:customStyle="1" w:styleId="6">
    <w:name w:val="样式 正文文本缩进 + 行距: 1.5 倍行距"/>
    <w:basedOn w:val="5"/>
    <w:next w:val="7"/>
    <w:qFormat/>
    <w:uiPriority w:val="0"/>
    <w:pPr>
      <w:spacing w:after="120" w:afterLines="0" w:line="360" w:lineRule="auto"/>
      <w:ind w:left="90" w:leftChars="32" w:firstLine="560"/>
    </w:pPr>
    <w:rPr>
      <w:rFonts w:ascii="Times New Roman" w:hAnsi="Times New Roman" w:eastAsia="宋体" w:cs="宋体"/>
      <w:sz w:val="24"/>
      <w:szCs w:val="20"/>
    </w:rPr>
  </w:style>
  <w:style w:type="paragraph" w:styleId="7">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Body Text Indent 2"/>
    <w:basedOn w:val="1"/>
    <w:autoRedefine/>
    <w:qFormat/>
    <w:uiPriority w:val="0"/>
    <w:pPr>
      <w:ind w:right="290" w:rightChars="138" w:firstLine="560" w:firstLineChars="200"/>
    </w:pPr>
    <w:rPr>
      <w:rFonts w:ascii="华文楷体" w:hAnsi="华文楷体" w:eastAsia="华文楷体"/>
      <w:sz w:val="28"/>
    </w:rPr>
  </w:style>
  <w:style w:type="paragraph" w:styleId="9">
    <w:name w:val="footer"/>
    <w:basedOn w:val="1"/>
    <w:autoRedefine/>
    <w:qFormat/>
    <w:uiPriority w:val="0"/>
    <w:pPr>
      <w:tabs>
        <w:tab w:val="center" w:pos="4153"/>
        <w:tab w:val="right" w:pos="8306"/>
      </w:tabs>
      <w:snapToGrid w:val="0"/>
      <w:jc w:val="left"/>
    </w:pPr>
    <w:rPr>
      <w:sz w:val="18"/>
    </w:rPr>
  </w:style>
  <w:style w:type="paragraph" w:styleId="10">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1">
    <w:name w:val="Body Text First Indent 2"/>
    <w:basedOn w:val="5"/>
    <w:next w:val="1"/>
    <w:autoRedefine/>
    <w:qFormat/>
    <w:uiPriority w:val="0"/>
    <w:pPr>
      <w:adjustRightInd/>
      <w:snapToGrid/>
      <w:spacing w:line="240" w:lineRule="auto"/>
    </w:pPr>
    <w:rPr>
      <w:rFonts w:ascii="Times New Roman" w:hAnsi="Times New Roman"/>
      <w:lang w:val="en-US" w:eastAsia="zh-CN"/>
    </w:rPr>
  </w:style>
  <w:style w:type="paragraph" w:customStyle="1" w:styleId="14">
    <w:name w:val="样式5"/>
    <w:basedOn w:val="15"/>
    <w:autoRedefine/>
    <w:qFormat/>
    <w:uiPriority w:val="0"/>
    <w:pPr>
      <w:tabs>
        <w:tab w:val="center" w:pos="0"/>
      </w:tabs>
      <w:snapToGrid w:val="0"/>
      <w:spacing w:line="360" w:lineRule="auto"/>
      <w:ind w:firstLine="510"/>
    </w:pPr>
  </w:style>
  <w:style w:type="paragraph" w:customStyle="1" w:styleId="15">
    <w:name w:val="正文1"/>
    <w:basedOn w:val="1"/>
    <w:next w:val="1"/>
    <w:autoRedefine/>
    <w:qFormat/>
    <w:uiPriority w:val="0"/>
    <w:pPr>
      <w:adjustRightInd w:val="0"/>
    </w:pPr>
    <w:rPr>
      <w:rFonts w:eastAsia="楷体_GB2312"/>
      <w:sz w:val="24"/>
    </w:rPr>
  </w:style>
  <w:style w:type="paragraph" w:customStyle="1" w:styleId="16">
    <w:name w:val="Default"/>
    <w:basedOn w:val="17"/>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标题 段落4级"/>
    <w:autoRedefine/>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18">
    <w:name w:val="_Style 1"/>
    <w:basedOn w:val="1"/>
    <w:autoRedefine/>
    <w:qFormat/>
    <w:uiPriority w:val="99"/>
    <w:pPr>
      <w:spacing w:line="481" w:lineRule="atLeast"/>
      <w:ind w:firstLine="623"/>
      <w:textAlignment w:val="baseline"/>
    </w:pPr>
    <w:rPr>
      <w:rFonts w:ascii="Times New Roman" w:eastAsia="Times New Roman"/>
      <w:color w:val="000000"/>
      <w:sz w:val="31"/>
    </w:rPr>
  </w:style>
  <w:style w:type="paragraph" w:customStyle="1" w:styleId="19">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customStyle="1" w:styleId="20">
    <w:name w:val="报告书"/>
    <w:basedOn w:val="1"/>
    <w:autoRedefine/>
    <w:qFormat/>
    <w:uiPriority w:val="0"/>
    <w:pPr>
      <w:adjustRightInd w:val="0"/>
      <w:snapToGrid w:val="0"/>
      <w:spacing w:line="440" w:lineRule="atLeast"/>
      <w:ind w:firstLine="482"/>
      <w:textAlignment w:val="baseline"/>
    </w:pPr>
    <w:rPr>
      <w:rFonts w:ascii="宋体"/>
      <w:kern w:val="24"/>
      <w:sz w:val="24"/>
      <w:szCs w:val="20"/>
    </w:rPr>
  </w:style>
  <w:style w:type="paragraph" w:customStyle="1" w:styleId="21">
    <w:name w:val="首行缩进2个字符"/>
    <w:basedOn w:val="1"/>
    <w:autoRedefine/>
    <w:qFormat/>
    <w:uiPriority w:val="0"/>
    <w:pPr>
      <w:spacing w:line="360" w:lineRule="auto"/>
      <w:ind w:firstLine="200" w:firstLineChars="200"/>
    </w:pPr>
    <w:rPr>
      <w:rFonts w:ascii="宋体"/>
      <w:kern w:val="28"/>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1995</Words>
  <Characters>2238</Characters>
  <Lines>0</Lines>
  <Paragraphs>0</Paragraphs>
  <TotalTime>6</TotalTime>
  <ScaleCrop>false</ScaleCrop>
  <LinksUpToDate>false</LinksUpToDate>
  <CharactersWithSpaces>2338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2019-04-25T00:50:00Z</dcterms:created>
  <dc:creator>Administrator</dc:creator>
  <cp:lastModifiedBy>随风飞扬</cp:lastModifiedBy>
  <cp:lastPrinted>2024-07-05T01:34:00Z</cp:lastPrinted>
  <dcterms:modified xsi:type="dcterms:W3CDTF">2026-02-11T03:50:06Z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0802B107660243F78212C3D149328183</vt:lpwstr>
  </property>
  <property fmtid="{D5CDD505-2E9C-101B-9397-08002B2CF9AE}" pid="4" name="KSOTemplateDocerSaveRecord">
    <vt:lpwstr>eyJoZGlkIjoiODA1ZTVjMWZhYmIzZjgyYjBlYzI4ZDY2NTQ1ZDZlMmUiLCJ1c2VySWQiOiI4NjEyOTI2MzkifQ==</vt:lpwstr>
  </property>
</Properties>
</file>