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095060">
      <w:pPr>
        <w:jc w:val="center"/>
        <w:rPr>
          <w:rFonts w:hint="eastAsia" w:ascii="黑体" w:hAnsi="黑体" w:eastAsia="黑体"/>
          <w:sz w:val="32"/>
          <w:szCs w:val="32"/>
          <w:lang w:eastAsia="zh-CN"/>
        </w:rPr>
      </w:pPr>
      <w:r>
        <w:rPr>
          <w:rFonts w:hint="eastAsia" w:ascii="黑体" w:hAnsi="黑体" w:eastAsia="黑体"/>
          <w:sz w:val="32"/>
          <w:szCs w:val="32"/>
        </w:rPr>
        <w:t>周口市生态环境局</w:t>
      </w:r>
      <w:r>
        <w:rPr>
          <w:rFonts w:hint="eastAsia" w:ascii="黑体" w:hAnsi="黑体" w:eastAsia="黑体"/>
          <w:sz w:val="32"/>
          <w:szCs w:val="32"/>
          <w:lang w:eastAsia="zh-CN"/>
        </w:rPr>
        <w:t>关于</w:t>
      </w:r>
      <w:r>
        <w:rPr>
          <w:rFonts w:hint="eastAsia" w:ascii="黑体" w:hAnsi="黑体" w:eastAsia="黑体"/>
          <w:sz w:val="32"/>
          <w:szCs w:val="32"/>
          <w:lang w:val="en-US" w:eastAsia="zh-CN"/>
        </w:rPr>
        <w:t>太康县豫恒固新型材料有限公司年产300吨热熔胶</w:t>
      </w:r>
      <w:r>
        <w:rPr>
          <w:rFonts w:hint="eastAsia" w:ascii="黑体" w:hAnsi="黑体" w:eastAsia="黑体"/>
          <w:sz w:val="32"/>
          <w:szCs w:val="32"/>
          <w:lang w:eastAsia="zh-CN"/>
        </w:rPr>
        <w:t>项目</w:t>
      </w:r>
    </w:p>
    <w:p w14:paraId="1ECFB35F">
      <w:pPr>
        <w:jc w:val="center"/>
        <w:rPr>
          <w:rFonts w:hint="eastAsia" w:ascii="黑体" w:hAnsi="黑体" w:eastAsia="黑体"/>
          <w:sz w:val="32"/>
          <w:szCs w:val="32"/>
        </w:rPr>
      </w:pPr>
      <w:r>
        <w:rPr>
          <w:rFonts w:hint="eastAsia" w:ascii="黑体" w:hAnsi="黑体" w:eastAsia="黑体"/>
          <w:sz w:val="32"/>
          <w:szCs w:val="32"/>
        </w:rPr>
        <w:t>环境影响评价文件</w:t>
      </w:r>
      <w:r>
        <w:rPr>
          <w:rFonts w:hint="eastAsia" w:ascii="黑体" w:hAnsi="黑体" w:eastAsia="黑体"/>
          <w:sz w:val="32"/>
          <w:szCs w:val="32"/>
          <w:lang w:eastAsia="zh-CN"/>
        </w:rPr>
        <w:t>受理</w:t>
      </w:r>
      <w:r>
        <w:rPr>
          <w:rFonts w:hint="eastAsia" w:ascii="黑体" w:hAnsi="黑体" w:eastAsia="黑体"/>
          <w:sz w:val="32"/>
          <w:szCs w:val="32"/>
        </w:rPr>
        <w:t>拟审批情况的公示</w:t>
      </w:r>
    </w:p>
    <w:p w14:paraId="49D40662">
      <w:pPr>
        <w:ind w:firstLine="560" w:firstLineChars="200"/>
        <w:rPr>
          <w:rFonts w:hint="eastAsia" w:ascii="Times New Roman" w:cs="Times New Roman" w:hAnsiTheme="minorEastAsia"/>
          <w:color w:val="auto"/>
          <w:sz w:val="28"/>
          <w:szCs w:val="28"/>
          <w:highlight w:val="yellow"/>
        </w:rPr>
      </w:pPr>
      <w:r>
        <w:rPr>
          <w:rFonts w:hint="eastAsia" w:ascii="Times New Roman" w:cs="Times New Roman" w:hAnsiTheme="minorEastAsia"/>
          <w:sz w:val="28"/>
          <w:szCs w:val="28"/>
        </w:rPr>
        <w:t>根据建设项目环境影响评价审批程序的有关规定，经审议，我局拟对</w:t>
      </w:r>
      <w:r>
        <w:rPr>
          <w:rFonts w:hint="eastAsia" w:ascii="Times New Roman" w:cs="Times New Roman" w:hAnsiTheme="minorEastAsia"/>
          <w:sz w:val="28"/>
          <w:szCs w:val="28"/>
          <w:lang w:val="en-US" w:eastAsia="zh-CN"/>
        </w:rPr>
        <w:t>太康县豫恒固新型材料有限公司年产300吨热熔胶</w:t>
      </w:r>
      <w:r>
        <w:rPr>
          <w:rFonts w:hint="eastAsia" w:ascii="Times New Roman" w:cs="Times New Roman" w:hAnsiTheme="minorEastAsia"/>
          <w:sz w:val="28"/>
          <w:szCs w:val="28"/>
          <w:lang w:eastAsia="zh-CN"/>
        </w:rPr>
        <w:t>项目</w:t>
      </w:r>
      <w:r>
        <w:rPr>
          <w:rFonts w:hint="eastAsia" w:ascii="Times New Roman" w:cs="Times New Roman" w:hAnsiTheme="minorEastAsia"/>
          <w:sz w:val="28"/>
          <w:szCs w:val="28"/>
        </w:rPr>
        <w:t>环境影响评价文件作出拟审批意见。为保证拟审批意见的严肃性和公正性，现将建设项目环境影响评价文件的基本情况予以公示。如有异议，请在公示期内反馈我局行政审批服务科。</w:t>
      </w:r>
      <w:r>
        <w:rPr>
          <w:rFonts w:hint="eastAsia" w:ascii="Times New Roman" w:cs="Times New Roman" w:hAnsiTheme="minorEastAsia"/>
          <w:color w:val="auto"/>
          <w:sz w:val="28"/>
          <w:szCs w:val="28"/>
          <w:highlight w:val="none"/>
        </w:rPr>
        <w:t>公示期为202</w:t>
      </w:r>
      <w:r>
        <w:rPr>
          <w:rFonts w:hint="eastAsia" w:ascii="Times New Roman" w:cs="Times New Roman" w:hAnsiTheme="minorEastAsia"/>
          <w:color w:val="auto"/>
          <w:sz w:val="28"/>
          <w:szCs w:val="28"/>
          <w:highlight w:val="none"/>
          <w:lang w:val="en-US" w:eastAsia="zh-CN"/>
        </w:rPr>
        <w:t>5</w:t>
      </w:r>
      <w:r>
        <w:rPr>
          <w:rFonts w:hint="eastAsia" w:ascii="Times New Roman" w:cs="Times New Roman" w:hAnsiTheme="minorEastAsia"/>
          <w:color w:val="auto"/>
          <w:sz w:val="28"/>
          <w:szCs w:val="28"/>
          <w:highlight w:val="none"/>
        </w:rPr>
        <w:t>年</w:t>
      </w:r>
      <w:r>
        <w:rPr>
          <w:rFonts w:hint="eastAsia" w:ascii="Times New Roman" w:cs="Times New Roman" w:hAnsiTheme="minorEastAsia"/>
          <w:color w:val="auto"/>
          <w:sz w:val="28"/>
          <w:szCs w:val="28"/>
          <w:highlight w:val="none"/>
          <w:lang w:val="en-US" w:eastAsia="zh-CN"/>
        </w:rPr>
        <w:t>1</w:t>
      </w:r>
      <w:r>
        <w:rPr>
          <w:rFonts w:hint="eastAsia" w:ascii="Times New Roman" w:cs="Times New Roman" w:hAnsiTheme="minorEastAsia"/>
          <w:color w:val="auto"/>
          <w:sz w:val="28"/>
          <w:szCs w:val="28"/>
          <w:highlight w:val="none"/>
        </w:rPr>
        <w:t>月</w:t>
      </w:r>
      <w:r>
        <w:rPr>
          <w:rFonts w:hint="eastAsia" w:ascii="Times New Roman" w:cs="Times New Roman" w:hAnsiTheme="minorEastAsia"/>
          <w:color w:val="auto"/>
          <w:sz w:val="28"/>
          <w:szCs w:val="28"/>
          <w:highlight w:val="none"/>
          <w:lang w:val="en-US" w:eastAsia="zh-CN"/>
        </w:rPr>
        <w:t>16</w:t>
      </w:r>
      <w:r>
        <w:rPr>
          <w:rFonts w:hint="eastAsia" w:ascii="Times New Roman" w:cs="Times New Roman" w:hAnsiTheme="minorEastAsia"/>
          <w:color w:val="auto"/>
          <w:sz w:val="28"/>
          <w:szCs w:val="28"/>
          <w:highlight w:val="none"/>
        </w:rPr>
        <w:t>日－202</w:t>
      </w:r>
      <w:r>
        <w:rPr>
          <w:rFonts w:hint="eastAsia" w:ascii="Times New Roman" w:cs="Times New Roman" w:hAnsiTheme="minorEastAsia"/>
          <w:color w:val="auto"/>
          <w:sz w:val="28"/>
          <w:szCs w:val="28"/>
          <w:highlight w:val="none"/>
          <w:lang w:val="en-US" w:eastAsia="zh-CN"/>
        </w:rPr>
        <w:t>5</w:t>
      </w:r>
      <w:r>
        <w:rPr>
          <w:rFonts w:hint="eastAsia" w:ascii="Times New Roman" w:cs="Times New Roman" w:hAnsiTheme="minorEastAsia"/>
          <w:color w:val="auto"/>
          <w:sz w:val="28"/>
          <w:szCs w:val="28"/>
          <w:highlight w:val="none"/>
        </w:rPr>
        <w:t>年</w:t>
      </w:r>
      <w:r>
        <w:rPr>
          <w:rFonts w:hint="eastAsia" w:ascii="Times New Roman" w:cs="Times New Roman" w:hAnsiTheme="minorEastAsia"/>
          <w:color w:val="auto"/>
          <w:sz w:val="28"/>
          <w:szCs w:val="28"/>
          <w:highlight w:val="none"/>
          <w:lang w:val="en-US" w:eastAsia="zh-CN"/>
        </w:rPr>
        <w:t>1</w:t>
      </w:r>
      <w:r>
        <w:rPr>
          <w:rFonts w:hint="eastAsia" w:ascii="Times New Roman" w:cs="Times New Roman" w:hAnsiTheme="minorEastAsia"/>
          <w:color w:val="auto"/>
          <w:sz w:val="28"/>
          <w:szCs w:val="28"/>
          <w:highlight w:val="none"/>
        </w:rPr>
        <w:t>月</w:t>
      </w:r>
      <w:r>
        <w:rPr>
          <w:rFonts w:hint="eastAsia" w:ascii="Times New Roman" w:cs="Times New Roman" w:hAnsiTheme="minorEastAsia"/>
          <w:color w:val="auto"/>
          <w:sz w:val="28"/>
          <w:szCs w:val="28"/>
          <w:highlight w:val="none"/>
          <w:lang w:val="en-US" w:eastAsia="zh-CN"/>
        </w:rPr>
        <w:t>22</w:t>
      </w:r>
      <w:bookmarkStart w:id="0" w:name="_GoBack"/>
      <w:bookmarkEnd w:id="0"/>
      <w:r>
        <w:rPr>
          <w:rFonts w:hint="eastAsia" w:ascii="Times New Roman" w:cs="Times New Roman" w:hAnsiTheme="minorEastAsia"/>
          <w:color w:val="auto"/>
          <w:sz w:val="28"/>
          <w:szCs w:val="28"/>
          <w:highlight w:val="none"/>
        </w:rPr>
        <w:t>日。</w:t>
      </w:r>
    </w:p>
    <w:p w14:paraId="0F9043E6">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电话（传真）：0394-8278830</w:t>
      </w:r>
    </w:p>
    <w:p w14:paraId="335FB38B">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通讯地址：周口市政务服务中心二楼北厅生态环境局窗口</w:t>
      </w:r>
    </w:p>
    <w:p w14:paraId="005D141B">
      <w:pPr>
        <w:ind w:firstLine="560" w:firstLineChars="200"/>
        <w:rPr>
          <w:rFonts w:hint="eastAsia" w:ascii="Times New Roman" w:cs="Times New Roman" w:hAnsiTheme="minorEastAsia"/>
          <w:sz w:val="28"/>
          <w:szCs w:val="28"/>
        </w:rPr>
      </w:pPr>
      <w:r>
        <w:rPr>
          <w:rFonts w:hint="eastAsia" w:ascii="Times New Roman" w:cs="Times New Roman" w:hAnsiTheme="minorEastAsia"/>
          <w:sz w:val="28"/>
          <w:szCs w:val="28"/>
        </w:rPr>
        <w:t>听证告知：依据《中华人民共和国行政许可法》，自公示起五个工作日内申请人、有重大利益关系的利害关系人可对以下拟作出的建设项目环境影响评价文件批复决定要求听证。</w:t>
      </w:r>
    </w:p>
    <w:p w14:paraId="65B94120">
      <w:pPr>
        <w:ind w:firstLine="560" w:firstLineChars="200"/>
        <w:jc w:val="center"/>
        <w:rPr>
          <w:rFonts w:hint="eastAsia" w:ascii="黑体" w:hAnsi="黑体" w:eastAsia="黑体" w:cs="Times New Roman"/>
          <w:sz w:val="28"/>
          <w:szCs w:val="28"/>
        </w:rPr>
      </w:pPr>
    </w:p>
    <w:p w14:paraId="35A75ED9">
      <w:pPr>
        <w:ind w:firstLine="560" w:firstLineChars="200"/>
        <w:jc w:val="center"/>
        <w:rPr>
          <w:rFonts w:hint="eastAsia" w:ascii="黑体" w:hAnsi="黑体" w:eastAsia="黑体" w:cs="Times New Roman"/>
          <w:sz w:val="28"/>
          <w:szCs w:val="28"/>
        </w:rPr>
      </w:pPr>
    </w:p>
    <w:p w14:paraId="08A552EB">
      <w:pPr>
        <w:ind w:firstLine="560" w:firstLineChars="200"/>
        <w:jc w:val="center"/>
        <w:rPr>
          <w:rFonts w:hint="eastAsia" w:ascii="黑体" w:hAnsi="黑体" w:eastAsia="黑体" w:cs="Times New Roman"/>
          <w:sz w:val="28"/>
          <w:szCs w:val="28"/>
        </w:rPr>
      </w:pPr>
    </w:p>
    <w:p w14:paraId="20EAF2F1">
      <w:pPr>
        <w:ind w:firstLine="560" w:firstLineChars="200"/>
        <w:jc w:val="center"/>
        <w:rPr>
          <w:rFonts w:hint="eastAsia" w:ascii="黑体" w:hAnsi="黑体" w:eastAsia="黑体" w:cs="Times New Roman"/>
          <w:sz w:val="28"/>
          <w:szCs w:val="28"/>
          <w:lang w:val="en-US" w:eastAsia="zh-CN"/>
        </w:rPr>
      </w:pPr>
      <w:r>
        <w:rPr>
          <w:rFonts w:hint="eastAsia" w:ascii="黑体" w:hAnsi="黑体" w:eastAsia="黑体" w:cs="Times New Roman"/>
          <w:sz w:val="28"/>
          <w:szCs w:val="28"/>
        </w:rPr>
        <w:t>受理拟审批的建设项目环境影响报告</w:t>
      </w:r>
      <w:r>
        <w:rPr>
          <w:rFonts w:hint="eastAsia" w:ascii="黑体" w:hAnsi="黑体" w:eastAsia="黑体" w:cs="Times New Roman"/>
          <w:sz w:val="28"/>
          <w:szCs w:val="28"/>
          <w:lang w:eastAsia="zh-CN"/>
        </w:rPr>
        <w:t>表</w:t>
      </w:r>
    </w:p>
    <w:tbl>
      <w:tblPr>
        <w:tblStyle w:val="8"/>
        <w:tblW w:w="14174"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426"/>
        <w:gridCol w:w="1100"/>
        <w:gridCol w:w="1134"/>
        <w:gridCol w:w="709"/>
        <w:gridCol w:w="850"/>
        <w:gridCol w:w="1593"/>
        <w:gridCol w:w="7479"/>
        <w:gridCol w:w="883"/>
      </w:tblGrid>
      <w:tr w14:paraId="11411D4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26" w:type="dxa"/>
            <w:vAlign w:val="center"/>
          </w:tcPr>
          <w:p w14:paraId="53EF6FB0">
            <w:pPr>
              <w:jc w:val="center"/>
              <w:rPr>
                <w:rFonts w:ascii="Times New Roman" w:hAnsi="Times New Roman" w:cs="Times New Roman"/>
                <w:szCs w:val="21"/>
              </w:rPr>
            </w:pPr>
            <w:r>
              <w:rPr>
                <w:rFonts w:ascii="Times New Roman" w:cs="Times New Roman" w:hAnsiTheme="minorEastAsia"/>
                <w:szCs w:val="21"/>
              </w:rPr>
              <w:t>序号</w:t>
            </w:r>
          </w:p>
        </w:tc>
        <w:tc>
          <w:tcPr>
            <w:tcW w:w="1100" w:type="dxa"/>
            <w:vAlign w:val="center"/>
          </w:tcPr>
          <w:p w14:paraId="3FC6E844">
            <w:pPr>
              <w:jc w:val="center"/>
              <w:rPr>
                <w:rFonts w:ascii="Times New Roman" w:hAnsi="Times New Roman" w:cs="Times New Roman"/>
                <w:szCs w:val="21"/>
              </w:rPr>
            </w:pPr>
            <w:r>
              <w:rPr>
                <w:rFonts w:ascii="Times New Roman" w:cs="Times New Roman" w:hAnsiTheme="minorEastAsia"/>
                <w:szCs w:val="21"/>
              </w:rPr>
              <w:t>项目名称</w:t>
            </w:r>
          </w:p>
        </w:tc>
        <w:tc>
          <w:tcPr>
            <w:tcW w:w="1134" w:type="dxa"/>
            <w:vAlign w:val="center"/>
          </w:tcPr>
          <w:p w14:paraId="04421169">
            <w:pPr>
              <w:jc w:val="center"/>
              <w:rPr>
                <w:rFonts w:ascii="Times New Roman" w:hAnsi="Times New Roman" w:cs="Times New Roman"/>
                <w:szCs w:val="21"/>
              </w:rPr>
            </w:pPr>
            <w:r>
              <w:rPr>
                <w:rFonts w:ascii="Times New Roman" w:cs="Times New Roman" w:hAnsiTheme="minorEastAsia"/>
                <w:szCs w:val="21"/>
              </w:rPr>
              <w:t>建设地点</w:t>
            </w:r>
          </w:p>
        </w:tc>
        <w:tc>
          <w:tcPr>
            <w:tcW w:w="709" w:type="dxa"/>
            <w:vAlign w:val="center"/>
          </w:tcPr>
          <w:p w14:paraId="25373C7D">
            <w:pPr>
              <w:jc w:val="center"/>
              <w:rPr>
                <w:rFonts w:ascii="Times New Roman" w:hAnsi="Times New Roman" w:cs="Times New Roman"/>
                <w:szCs w:val="21"/>
              </w:rPr>
            </w:pPr>
            <w:r>
              <w:rPr>
                <w:rFonts w:ascii="Times New Roman" w:cs="Times New Roman" w:hAnsiTheme="minorEastAsia"/>
                <w:szCs w:val="21"/>
              </w:rPr>
              <w:t>建设单位</w:t>
            </w:r>
          </w:p>
        </w:tc>
        <w:tc>
          <w:tcPr>
            <w:tcW w:w="850" w:type="dxa"/>
            <w:vAlign w:val="center"/>
          </w:tcPr>
          <w:p w14:paraId="165F20D2">
            <w:pPr>
              <w:jc w:val="center"/>
              <w:rPr>
                <w:rFonts w:ascii="Times New Roman" w:hAnsi="Times New Roman" w:cs="Times New Roman"/>
                <w:szCs w:val="21"/>
              </w:rPr>
            </w:pPr>
            <w:r>
              <w:rPr>
                <w:rFonts w:ascii="Times New Roman" w:cs="Times New Roman" w:hAnsiTheme="minorEastAsia"/>
                <w:szCs w:val="21"/>
              </w:rPr>
              <w:t>环境影响评价机构</w:t>
            </w:r>
          </w:p>
        </w:tc>
        <w:tc>
          <w:tcPr>
            <w:tcW w:w="1593" w:type="dxa"/>
            <w:vAlign w:val="center"/>
          </w:tcPr>
          <w:p w14:paraId="357ECA98">
            <w:pPr>
              <w:jc w:val="center"/>
              <w:rPr>
                <w:rFonts w:ascii="Times New Roman" w:hAnsi="Times New Roman" w:cs="Times New Roman"/>
                <w:szCs w:val="21"/>
              </w:rPr>
            </w:pPr>
            <w:r>
              <w:rPr>
                <w:rFonts w:ascii="Times New Roman" w:cs="Times New Roman" w:hAnsiTheme="minorEastAsia"/>
                <w:szCs w:val="21"/>
              </w:rPr>
              <w:t>建设项目概况</w:t>
            </w:r>
          </w:p>
        </w:tc>
        <w:tc>
          <w:tcPr>
            <w:tcW w:w="7479" w:type="dxa"/>
            <w:vAlign w:val="center"/>
          </w:tcPr>
          <w:p w14:paraId="2117B0DF">
            <w:pPr>
              <w:jc w:val="center"/>
              <w:rPr>
                <w:rFonts w:ascii="Times New Roman" w:hAnsi="Times New Roman" w:cs="Times New Roman"/>
                <w:szCs w:val="21"/>
              </w:rPr>
            </w:pPr>
            <w:r>
              <w:rPr>
                <w:rFonts w:ascii="Times New Roman" w:cs="Times New Roman" w:hAnsiTheme="minorEastAsia"/>
                <w:szCs w:val="21"/>
              </w:rPr>
              <w:t>主要环境影响及预防或减轻不良环境影响的对策和措施</w:t>
            </w:r>
          </w:p>
        </w:tc>
        <w:tc>
          <w:tcPr>
            <w:tcW w:w="883" w:type="dxa"/>
            <w:vAlign w:val="center"/>
          </w:tcPr>
          <w:p w14:paraId="1728C2A5">
            <w:pPr>
              <w:jc w:val="center"/>
              <w:rPr>
                <w:rFonts w:ascii="Times New Roman" w:hAnsi="Times New Roman" w:cs="Times New Roman"/>
                <w:szCs w:val="21"/>
              </w:rPr>
            </w:pPr>
            <w:r>
              <w:rPr>
                <w:rFonts w:ascii="Times New Roman" w:cs="Times New Roman" w:hAnsiTheme="minorEastAsia"/>
                <w:szCs w:val="21"/>
              </w:rPr>
              <w:t>公众参与情况</w:t>
            </w:r>
          </w:p>
        </w:tc>
      </w:tr>
      <w:tr w14:paraId="6D35DB2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90" w:hRule="atLeast"/>
        </w:trPr>
        <w:tc>
          <w:tcPr>
            <w:tcW w:w="426" w:type="dxa"/>
          </w:tcPr>
          <w:p w14:paraId="17A88E7C">
            <w:pPr>
              <w:jc w:val="center"/>
              <w:rPr>
                <w:rFonts w:ascii="Times New Roman" w:hAnsi="Times New Roman" w:cs="Times New Roman"/>
                <w:szCs w:val="21"/>
              </w:rPr>
            </w:pPr>
            <w:r>
              <w:rPr>
                <w:rFonts w:ascii="Times New Roman" w:hAnsi="Times New Roman" w:cs="Times New Roman"/>
                <w:szCs w:val="21"/>
              </w:rPr>
              <w:t>1</w:t>
            </w:r>
          </w:p>
        </w:tc>
        <w:tc>
          <w:tcPr>
            <w:tcW w:w="1100" w:type="dxa"/>
            <w:shd w:val="clear" w:color="auto" w:fill="auto"/>
            <w:vAlign w:val="top"/>
          </w:tcPr>
          <w:p w14:paraId="2D2536CE">
            <w:pPr>
              <w:jc w:val="center"/>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太康县豫恒固新型材料有限公司年产300吨热熔胶项目</w:t>
            </w:r>
          </w:p>
        </w:tc>
        <w:tc>
          <w:tcPr>
            <w:tcW w:w="1134" w:type="dxa"/>
            <w:shd w:val="clear" w:color="auto" w:fill="auto"/>
            <w:vAlign w:val="top"/>
          </w:tcPr>
          <w:p w14:paraId="16526AEF">
            <w:pPr>
              <w:jc w:val="center"/>
              <w:rPr>
                <w:rFonts w:ascii="Times New Roman" w:hAnsi="Times New Roman" w:cs="Times New Roman" w:eastAsiaTheme="minorEastAsia"/>
                <w:kern w:val="2"/>
                <w:sz w:val="21"/>
                <w:szCs w:val="21"/>
                <w:lang w:val="en-US" w:eastAsia="zh-CN" w:bidi="ar-SA"/>
              </w:rPr>
            </w:pPr>
            <w:r>
              <w:rPr>
                <w:rFonts w:hint="default" w:ascii="Times New Roman" w:hAnsi="Times New Roman" w:cs="Times New Roman" w:eastAsiaTheme="minorEastAsia"/>
                <w:kern w:val="2"/>
                <w:sz w:val="21"/>
                <w:szCs w:val="21"/>
                <w:lang w:val="en-US" w:eastAsia="zh-CN" w:bidi="ar-SA"/>
              </w:rPr>
              <w:t>河南省周口市太康县产业集聚区太康县祥福电动车制造有限公司院内</w:t>
            </w:r>
          </w:p>
        </w:tc>
        <w:tc>
          <w:tcPr>
            <w:tcW w:w="709" w:type="dxa"/>
            <w:shd w:val="clear" w:color="auto" w:fill="auto"/>
            <w:vAlign w:val="top"/>
          </w:tcPr>
          <w:p w14:paraId="08C53268">
            <w:pPr>
              <w:jc w:val="center"/>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太康县豫恒固新型材料有限公司</w:t>
            </w:r>
          </w:p>
        </w:tc>
        <w:tc>
          <w:tcPr>
            <w:tcW w:w="850" w:type="dxa"/>
            <w:shd w:val="clear" w:color="auto" w:fill="auto"/>
            <w:vAlign w:val="top"/>
          </w:tcPr>
          <w:p w14:paraId="7784FC0D">
            <w:pPr>
              <w:jc w:val="center"/>
              <w:rPr>
                <w:rFonts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河南圣环环保科技有限公司</w:t>
            </w:r>
          </w:p>
        </w:tc>
        <w:tc>
          <w:tcPr>
            <w:tcW w:w="1593" w:type="dxa"/>
            <w:shd w:val="clear" w:color="auto" w:fill="auto"/>
            <w:vAlign w:val="top"/>
          </w:tcPr>
          <w:p w14:paraId="7AAF52EE">
            <w:pPr>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项目位于河南省周口市太康县产业集聚区太康县祥福电动车制造有限公司院内进行建设，</w:t>
            </w:r>
            <w:r>
              <w:rPr>
                <w:rFonts w:hint="eastAsia" w:ascii="Times New Roman" w:hAnsi="Times New Roman" w:cs="Times New Roman"/>
                <w:kern w:val="2"/>
                <w:sz w:val="21"/>
                <w:szCs w:val="21"/>
                <w:lang w:val="en-US" w:eastAsia="zh-CN" w:bidi="ar-SA"/>
              </w:rPr>
              <w:t>用地</w:t>
            </w:r>
            <w:r>
              <w:rPr>
                <w:rFonts w:hint="eastAsia" w:ascii="Times New Roman" w:hAnsi="Times New Roman" w:cs="Times New Roman" w:eastAsiaTheme="minorEastAsia"/>
                <w:kern w:val="2"/>
                <w:sz w:val="21"/>
                <w:szCs w:val="21"/>
                <w:lang w:val="en-US" w:eastAsia="zh-CN" w:bidi="ar-SA"/>
              </w:rPr>
              <w:t>面积为</w:t>
            </w:r>
            <w:r>
              <w:rPr>
                <w:rFonts w:hint="eastAsia" w:ascii="Times New Roman" w:hAnsi="Times New Roman" w:cs="Times New Roman"/>
                <w:kern w:val="2"/>
                <w:sz w:val="21"/>
                <w:szCs w:val="21"/>
                <w:lang w:val="en-US" w:eastAsia="zh-CN" w:bidi="ar-SA"/>
              </w:rPr>
              <w:t>800</w:t>
            </w:r>
            <w:r>
              <w:rPr>
                <w:rFonts w:hint="eastAsia" w:ascii="Times New Roman" w:hAnsi="Times New Roman" w:cs="Times New Roman" w:eastAsiaTheme="minorEastAsia"/>
                <w:kern w:val="2"/>
                <w:sz w:val="21"/>
                <w:szCs w:val="21"/>
                <w:lang w:val="en-US" w:eastAsia="zh-CN" w:bidi="ar-SA"/>
              </w:rPr>
              <w:t>m</w:t>
            </w:r>
            <w:r>
              <w:rPr>
                <w:rFonts w:hint="eastAsia" w:ascii="Times New Roman" w:hAnsi="Times New Roman" w:cs="Times New Roman" w:eastAsiaTheme="minorEastAsia"/>
                <w:kern w:val="2"/>
                <w:sz w:val="21"/>
                <w:szCs w:val="21"/>
                <w:vertAlign w:val="superscript"/>
                <w:lang w:val="en-US" w:eastAsia="zh-CN" w:bidi="ar-SA"/>
              </w:rPr>
              <w:t>2</w:t>
            </w:r>
            <w:r>
              <w:rPr>
                <w:rFonts w:hint="eastAsia" w:ascii="Times New Roman" w:hAnsi="Times New Roman" w:cs="Times New Roman" w:eastAsiaTheme="minorEastAsia"/>
                <w:kern w:val="2"/>
                <w:sz w:val="21"/>
                <w:szCs w:val="21"/>
                <w:lang w:val="en-US" w:eastAsia="zh-CN" w:bidi="ar-SA"/>
              </w:rPr>
              <w:t>。主要从事热熔木工胶生产，总投资200万元，环保资金2</w:t>
            </w:r>
            <w:r>
              <w:rPr>
                <w:rFonts w:hint="eastAsia" w:ascii="Times New Roman" w:hAnsi="Times New Roman" w:cs="Times New Roman"/>
                <w:kern w:val="2"/>
                <w:sz w:val="21"/>
                <w:szCs w:val="21"/>
                <w:lang w:val="en-US" w:eastAsia="zh-CN" w:bidi="ar-SA"/>
              </w:rPr>
              <w:t>0</w:t>
            </w:r>
            <w:r>
              <w:rPr>
                <w:rFonts w:hint="eastAsia" w:ascii="Times New Roman" w:hAnsi="Times New Roman" w:cs="Times New Roman" w:eastAsiaTheme="minorEastAsia"/>
                <w:kern w:val="2"/>
                <w:sz w:val="21"/>
                <w:szCs w:val="21"/>
                <w:lang w:val="en-US" w:eastAsia="zh-CN" w:bidi="ar-SA"/>
              </w:rPr>
              <w:t>万元</w:t>
            </w:r>
          </w:p>
          <w:p w14:paraId="0EA189E4">
            <w:pPr>
              <w:pStyle w:val="2"/>
              <w:rPr>
                <w:rFonts w:hint="eastAsia"/>
                <w:lang w:val="en-US" w:eastAsia="zh-CN"/>
              </w:rPr>
            </w:pPr>
          </w:p>
        </w:tc>
        <w:tc>
          <w:tcPr>
            <w:tcW w:w="7479" w:type="dxa"/>
            <w:shd w:val="clear" w:color="auto" w:fill="auto"/>
            <w:vAlign w:val="top"/>
          </w:tcPr>
          <w:p w14:paraId="73526B75">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一、废水污染防治措施</w:t>
            </w:r>
          </w:p>
          <w:p w14:paraId="7520F0BB">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生活污水依托太康县祥福电动车制造有限公司厂区化粪池处理后，排入太康县第二污水处理厂处理；冷却水及甩干水回用于生产，不外排</w:t>
            </w:r>
            <w:r>
              <w:rPr>
                <w:rFonts w:hint="eastAsia" w:ascii="Times New Roman" w:hAnsi="Times New Roman" w:cs="Times New Roman"/>
                <w:kern w:val="2"/>
                <w:sz w:val="21"/>
                <w:szCs w:val="21"/>
                <w:lang w:val="en-US" w:eastAsia="zh-CN" w:bidi="ar-SA"/>
              </w:rPr>
              <w:t>。</w:t>
            </w:r>
          </w:p>
          <w:p w14:paraId="2466CA80">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二、废气污染防治措施</w:t>
            </w:r>
          </w:p>
          <w:p w14:paraId="36915B7D">
            <w:pPr>
              <w:keepNext w:val="0"/>
              <w:keepLines w:val="0"/>
              <w:pageBreakBefore w:val="0"/>
              <w:kinsoku/>
              <w:wordWrap/>
              <w:overflowPunct/>
              <w:topLinePunct w:val="0"/>
              <w:autoSpaceDE/>
              <w:autoSpaceDN/>
              <w:bidi w:val="0"/>
              <w:adjustRightInd/>
              <w:snapToGrid/>
              <w:spacing w:before="0" w:beforeAutospacing="0" w:after="0" w:afterAutospacing="0" w:line="240" w:lineRule="auto"/>
              <w:ind w:firstLine="420" w:firstLineChars="200"/>
              <w:jc w:val="both"/>
              <w:textAlignment w:val="auto"/>
              <w:rPr>
                <w:rFonts w:hint="default" w:ascii="Times New Roman" w:hAnsi="Times New Roman" w:cs="Times New Roman"/>
                <w:color w:val="auto"/>
                <w:sz w:val="21"/>
                <w:szCs w:val="21"/>
                <w:lang w:val="en-US" w:eastAsia="zh-CN"/>
              </w:rPr>
            </w:pPr>
            <w:r>
              <w:rPr>
                <w:rFonts w:hint="eastAsia"/>
                <w:color w:val="auto"/>
                <w:lang w:val="en-US" w:eastAsia="zh-CN"/>
              </w:rPr>
              <w:t>废回收EVA树脂、石油树脂电加热（180℃）熔融搅拌时产生的非甲烷总烃、钙粉投料粉尘经集气罩收集后经袋式除尘器+二级活性炭吸附装置处理后由1根15m排气筒排放；</w:t>
            </w:r>
            <w:r>
              <w:rPr>
                <w:rFonts w:hint="eastAsia" w:ascii="Times New Roman" w:hAnsi="Times New Roman" w:cs="Times New Roman"/>
                <w:color w:val="auto"/>
                <w:sz w:val="21"/>
                <w:szCs w:val="21"/>
                <w:lang w:val="en-US" w:eastAsia="zh-CN"/>
              </w:rPr>
              <w:t>颗粒物</w:t>
            </w:r>
            <w:r>
              <w:rPr>
                <w:rFonts w:hint="default" w:ascii="Times New Roman" w:hAnsi="Times New Roman" w:cs="Times New Roman"/>
                <w:color w:val="auto"/>
                <w:sz w:val="21"/>
                <w:szCs w:val="21"/>
                <w:lang w:val="en-US" w:eastAsia="zh-CN"/>
              </w:rPr>
              <w:t>排放浓度满足《大气污染物综合排放标准》（GB16297-1996）表2二级标准</w:t>
            </w:r>
            <w:r>
              <w:rPr>
                <w:rFonts w:hint="eastAsia" w:ascii="Times New Roman" w:hAnsi="Times New Roman" w:cs="Times New Roman"/>
                <w:color w:val="auto"/>
                <w:kern w:val="24"/>
                <w:sz w:val="21"/>
                <w:szCs w:val="21"/>
                <w:lang w:eastAsia="zh-CN"/>
              </w:rPr>
              <w:t>（</w:t>
            </w:r>
            <w:r>
              <w:rPr>
                <w:rFonts w:hint="eastAsia" w:ascii="Times New Roman" w:hAnsi="Times New Roman" w:cs="Times New Roman"/>
                <w:color w:val="auto"/>
                <w:kern w:val="24"/>
                <w:sz w:val="21"/>
                <w:szCs w:val="21"/>
                <w:lang w:val="en-US" w:eastAsia="zh-CN"/>
              </w:rPr>
              <w:t>颗粒物</w:t>
            </w:r>
            <w:r>
              <w:rPr>
                <w:rFonts w:hint="eastAsia" w:ascii="Times New Roman" w:hAnsi="Times New Roman" w:cs="Times New Roman"/>
                <w:color w:val="auto"/>
                <w:kern w:val="24"/>
                <w:sz w:val="21"/>
                <w:szCs w:val="21"/>
                <w:lang w:eastAsia="zh-CN"/>
              </w:rPr>
              <w:t>排放限值</w:t>
            </w:r>
            <w:r>
              <w:rPr>
                <w:rFonts w:hint="eastAsia" w:ascii="Times New Roman" w:hAnsi="Times New Roman" w:cs="Times New Roman"/>
                <w:color w:val="auto"/>
                <w:kern w:val="24"/>
                <w:sz w:val="21"/>
                <w:szCs w:val="21"/>
                <w:lang w:val="en-US" w:eastAsia="zh-CN"/>
              </w:rPr>
              <w:t>120mg/m</w:t>
            </w:r>
            <w:r>
              <w:rPr>
                <w:rFonts w:hint="eastAsia" w:ascii="Times New Roman" w:hAnsi="Times New Roman" w:cs="Times New Roman"/>
                <w:color w:val="auto"/>
                <w:kern w:val="24"/>
                <w:sz w:val="21"/>
                <w:szCs w:val="21"/>
                <w:vertAlign w:val="superscript"/>
                <w:lang w:val="en-US" w:eastAsia="zh-CN"/>
              </w:rPr>
              <w:t>3</w:t>
            </w:r>
            <w:r>
              <w:rPr>
                <w:rFonts w:hint="eastAsia" w:ascii="Times New Roman" w:hAnsi="Times New Roman" w:cs="Times New Roman"/>
                <w:color w:val="auto"/>
                <w:kern w:val="24"/>
                <w:sz w:val="21"/>
                <w:szCs w:val="21"/>
                <w:vertAlign w:val="baseline"/>
                <w:lang w:val="en-US" w:eastAsia="zh-CN"/>
              </w:rPr>
              <w:t>、最高允许排放速率3.5kg/h</w:t>
            </w:r>
            <w:r>
              <w:rPr>
                <w:rFonts w:hint="eastAsia" w:ascii="Times New Roman" w:hAnsi="Times New Roman" w:cs="Times New Roman"/>
                <w:color w:val="auto"/>
                <w:kern w:val="24"/>
                <w:sz w:val="21"/>
                <w:szCs w:val="21"/>
                <w:lang w:eastAsia="zh-CN"/>
              </w:rPr>
              <w:t>）和《</w:t>
            </w:r>
            <w:r>
              <w:rPr>
                <w:rFonts w:hint="eastAsia" w:ascii="Times New Roman" w:hAnsi="Times New Roman" w:cs="Times New Roman"/>
                <w:color w:val="auto"/>
                <w:kern w:val="24"/>
                <w:sz w:val="21"/>
                <w:szCs w:val="21"/>
                <w:lang w:val="en-US" w:eastAsia="zh-CN"/>
              </w:rPr>
              <w:t>河南省重污染天气通用行业应急减排措施制定技术指南</w:t>
            </w:r>
            <w:r>
              <w:rPr>
                <w:rFonts w:hint="eastAsia" w:ascii="Times New Roman" w:hAnsi="Times New Roman" w:cs="Times New Roman"/>
                <w:color w:val="auto"/>
                <w:kern w:val="24"/>
                <w:sz w:val="21"/>
                <w:szCs w:val="21"/>
                <w:lang w:eastAsia="zh-CN"/>
              </w:rPr>
              <w:t>》</w:t>
            </w:r>
            <w:r>
              <w:rPr>
                <w:rFonts w:hint="eastAsia" w:ascii="Times New Roman" w:hAnsi="Times New Roman" w:cs="Times New Roman"/>
                <w:color w:val="auto"/>
                <w:kern w:val="24"/>
                <w:sz w:val="21"/>
                <w:szCs w:val="21"/>
                <w:lang w:val="en-US" w:eastAsia="zh-CN"/>
              </w:rPr>
              <w:t>通用行业涉颗粒物A级标准-颗粒物</w:t>
            </w:r>
            <w:r>
              <w:rPr>
                <w:rFonts w:hint="eastAsia" w:ascii="Times New Roman" w:hAnsi="Times New Roman" w:cs="Times New Roman"/>
                <w:color w:val="auto"/>
                <w:kern w:val="24"/>
                <w:sz w:val="21"/>
                <w:szCs w:val="21"/>
                <w:lang w:eastAsia="zh-CN"/>
              </w:rPr>
              <w:t>最高允许排放浓度</w:t>
            </w:r>
            <w:r>
              <w:rPr>
                <w:rFonts w:hint="eastAsia" w:ascii="Times New Roman" w:hAnsi="Times New Roman" w:cs="Times New Roman"/>
                <w:color w:val="auto"/>
                <w:kern w:val="24"/>
                <w:sz w:val="21"/>
                <w:szCs w:val="21"/>
                <w:lang w:val="en-US" w:eastAsia="zh-CN"/>
              </w:rPr>
              <w:t>10</w:t>
            </w:r>
            <w:r>
              <w:rPr>
                <w:rFonts w:hint="eastAsia" w:ascii="Times New Roman" w:hAnsi="Times New Roman" w:cs="Times New Roman"/>
                <w:color w:val="auto"/>
                <w:kern w:val="24"/>
                <w:sz w:val="21"/>
                <w:szCs w:val="21"/>
                <w:lang w:eastAsia="zh-CN"/>
              </w:rPr>
              <w:t>mg/m</w:t>
            </w:r>
            <w:r>
              <w:rPr>
                <w:rFonts w:hint="eastAsia" w:ascii="Times New Roman" w:hAnsi="Times New Roman" w:cs="Times New Roman"/>
                <w:color w:val="auto"/>
                <w:kern w:val="24"/>
                <w:sz w:val="21"/>
                <w:szCs w:val="21"/>
                <w:vertAlign w:val="superscript"/>
                <w:lang w:eastAsia="zh-CN"/>
              </w:rPr>
              <w:t>3</w:t>
            </w:r>
            <w:r>
              <w:rPr>
                <w:rFonts w:hint="eastAsia" w:ascii="Times New Roman" w:hAnsi="Times New Roman" w:cs="Times New Roman"/>
                <w:color w:val="auto"/>
                <w:kern w:val="24"/>
                <w:sz w:val="21"/>
                <w:szCs w:val="21"/>
                <w:vertAlign w:val="baseline"/>
                <w:lang w:eastAsia="zh-CN"/>
              </w:rPr>
              <w:t>。</w:t>
            </w:r>
            <w:r>
              <w:rPr>
                <w:rFonts w:hint="eastAsia" w:ascii="Times New Roman" w:hAnsi="Times New Roman" w:cs="Times New Roman"/>
                <w:color w:val="auto"/>
                <w:sz w:val="21"/>
                <w:szCs w:val="21"/>
                <w:lang w:val="en-US" w:eastAsia="zh-CN"/>
              </w:rPr>
              <w:t>非甲烷总烃</w:t>
            </w:r>
            <w:r>
              <w:rPr>
                <w:rFonts w:hint="default" w:ascii="Times New Roman" w:hAnsi="Times New Roman" w:cs="Times New Roman"/>
                <w:color w:val="auto"/>
                <w:sz w:val="21"/>
                <w:szCs w:val="21"/>
                <w:lang w:val="en-US" w:eastAsia="zh-CN"/>
              </w:rPr>
              <w:t>排放浓度满足</w:t>
            </w:r>
            <w:r>
              <w:rPr>
                <w:rFonts w:hint="eastAsia" w:ascii="Times New Roman" w:hAnsi="Times New Roman" w:cs="Times New Roman"/>
                <w:color w:val="auto"/>
                <w:kern w:val="24"/>
                <w:sz w:val="21"/>
                <w:szCs w:val="21"/>
                <w:lang w:eastAsia="zh-CN"/>
              </w:rPr>
              <w:t>《合成树脂工业污染物排放标准》（GB31572-2015）中表</w:t>
            </w:r>
            <w:r>
              <w:rPr>
                <w:rFonts w:hint="eastAsia" w:ascii="Times New Roman" w:hAnsi="Times New Roman" w:cs="Times New Roman"/>
                <w:color w:val="auto"/>
                <w:kern w:val="24"/>
                <w:sz w:val="21"/>
                <w:szCs w:val="21"/>
                <w:lang w:val="en-US" w:eastAsia="zh-CN"/>
              </w:rPr>
              <w:t>5</w:t>
            </w:r>
            <w:r>
              <w:rPr>
                <w:rFonts w:hint="eastAsia" w:ascii="Times New Roman" w:hAnsi="Times New Roman" w:cs="Times New Roman"/>
                <w:color w:val="auto"/>
                <w:kern w:val="24"/>
                <w:sz w:val="21"/>
                <w:szCs w:val="21"/>
                <w:lang w:eastAsia="zh-CN"/>
              </w:rPr>
              <w:t>大气污染物特别排放限值要求（非甲烷总烃排放限值</w:t>
            </w:r>
            <w:r>
              <w:rPr>
                <w:rFonts w:hint="eastAsia" w:ascii="Times New Roman" w:hAnsi="Times New Roman" w:cs="Times New Roman"/>
                <w:color w:val="auto"/>
                <w:kern w:val="24"/>
                <w:sz w:val="21"/>
                <w:szCs w:val="21"/>
                <w:lang w:val="en-US" w:eastAsia="zh-CN"/>
              </w:rPr>
              <w:t>60mg/m</w:t>
            </w:r>
            <w:r>
              <w:rPr>
                <w:rFonts w:hint="eastAsia" w:ascii="Times New Roman" w:hAnsi="Times New Roman" w:cs="Times New Roman"/>
                <w:color w:val="auto"/>
                <w:kern w:val="24"/>
                <w:sz w:val="21"/>
                <w:szCs w:val="21"/>
                <w:vertAlign w:val="superscript"/>
                <w:lang w:val="en-US" w:eastAsia="zh-CN"/>
              </w:rPr>
              <w:t>3</w:t>
            </w:r>
            <w:r>
              <w:rPr>
                <w:rFonts w:hint="eastAsia" w:ascii="Times New Roman" w:hAnsi="Times New Roman" w:cs="Times New Roman"/>
                <w:color w:val="auto"/>
                <w:kern w:val="24"/>
                <w:sz w:val="21"/>
                <w:szCs w:val="21"/>
                <w:lang w:eastAsia="zh-CN"/>
              </w:rPr>
              <w:t>）和《关于全省开展工业企业挥发性有机物专项治理工作中排放建议值的通知》（豫环攻坚办[2017]162号）附件</w:t>
            </w:r>
            <w:r>
              <w:rPr>
                <w:rFonts w:hint="eastAsia" w:ascii="Times New Roman" w:hAnsi="Times New Roman" w:cs="Times New Roman"/>
                <w:color w:val="auto"/>
                <w:kern w:val="24"/>
                <w:sz w:val="21"/>
                <w:szCs w:val="21"/>
                <w:lang w:val="en-US" w:eastAsia="zh-CN"/>
              </w:rPr>
              <w:t>1其他行业</w:t>
            </w:r>
            <w:r>
              <w:rPr>
                <w:rFonts w:hint="eastAsia" w:ascii="Times New Roman" w:hAnsi="Times New Roman" w:cs="Times New Roman"/>
                <w:color w:val="auto"/>
                <w:kern w:val="24"/>
                <w:sz w:val="21"/>
                <w:szCs w:val="21"/>
                <w:lang w:eastAsia="zh-CN"/>
              </w:rPr>
              <w:t>排放建议值（非甲烷总烃建议排放浓度80mg/m</w:t>
            </w:r>
            <w:r>
              <w:rPr>
                <w:rFonts w:hint="eastAsia" w:ascii="Times New Roman" w:hAnsi="Times New Roman" w:cs="Times New Roman"/>
                <w:color w:val="auto"/>
                <w:kern w:val="24"/>
                <w:sz w:val="21"/>
                <w:szCs w:val="21"/>
                <w:vertAlign w:val="superscript"/>
                <w:lang w:eastAsia="zh-CN"/>
              </w:rPr>
              <w:t>3</w:t>
            </w:r>
            <w:r>
              <w:rPr>
                <w:rFonts w:hint="eastAsia" w:ascii="Times New Roman" w:hAnsi="Times New Roman" w:cs="Times New Roman"/>
                <w:color w:val="auto"/>
                <w:kern w:val="24"/>
                <w:sz w:val="21"/>
                <w:szCs w:val="21"/>
                <w:lang w:eastAsia="zh-CN"/>
              </w:rPr>
              <w:t>，建议去除效率70%）</w:t>
            </w:r>
            <w:r>
              <w:rPr>
                <w:rFonts w:hint="eastAsia" w:ascii="Times New Roman" w:hAnsi="Times New Roman" w:cs="Times New Roman"/>
                <w:color w:val="auto"/>
                <w:kern w:val="24"/>
                <w:sz w:val="21"/>
                <w:szCs w:val="21"/>
                <w:lang w:val="en-US" w:eastAsia="zh-CN"/>
              </w:rPr>
              <w:t>及河南省重污染天气通用行业应急减排措施制定技术指南</w:t>
            </w:r>
            <w:r>
              <w:rPr>
                <w:rFonts w:hint="eastAsia" w:ascii="Times New Roman" w:hAnsi="Times New Roman" w:cs="Times New Roman"/>
                <w:color w:val="auto"/>
                <w:kern w:val="24"/>
                <w:sz w:val="21"/>
                <w:szCs w:val="21"/>
                <w:lang w:eastAsia="zh-CN"/>
              </w:rPr>
              <w:t>》</w:t>
            </w:r>
            <w:r>
              <w:rPr>
                <w:rFonts w:hint="eastAsia" w:ascii="Times New Roman" w:hAnsi="Times New Roman" w:cs="Times New Roman"/>
                <w:color w:val="auto"/>
                <w:kern w:val="24"/>
                <w:sz w:val="21"/>
                <w:szCs w:val="21"/>
                <w:lang w:val="en-US" w:eastAsia="zh-CN"/>
              </w:rPr>
              <w:t>通用行业涉VOCs A级标准-非甲烷总烃</w:t>
            </w:r>
            <w:r>
              <w:rPr>
                <w:rFonts w:hint="eastAsia" w:ascii="Times New Roman" w:hAnsi="Times New Roman" w:cs="Times New Roman"/>
                <w:color w:val="auto"/>
                <w:kern w:val="24"/>
                <w:sz w:val="21"/>
                <w:szCs w:val="21"/>
                <w:lang w:eastAsia="zh-CN"/>
              </w:rPr>
              <w:t>最高允许排放浓度</w:t>
            </w:r>
            <w:r>
              <w:rPr>
                <w:rFonts w:hint="eastAsia" w:ascii="Times New Roman" w:hAnsi="Times New Roman" w:cs="Times New Roman"/>
                <w:color w:val="auto"/>
                <w:kern w:val="24"/>
                <w:sz w:val="21"/>
                <w:szCs w:val="21"/>
                <w:lang w:val="en-US" w:eastAsia="zh-CN"/>
              </w:rPr>
              <w:t>30</w:t>
            </w:r>
            <w:r>
              <w:rPr>
                <w:rFonts w:hint="eastAsia" w:ascii="Times New Roman" w:hAnsi="Times New Roman" w:cs="Times New Roman"/>
                <w:color w:val="auto"/>
                <w:kern w:val="24"/>
                <w:sz w:val="21"/>
                <w:szCs w:val="21"/>
                <w:lang w:eastAsia="zh-CN"/>
              </w:rPr>
              <w:t>mg/m</w:t>
            </w:r>
            <w:r>
              <w:rPr>
                <w:rFonts w:hint="eastAsia" w:ascii="Times New Roman" w:hAnsi="Times New Roman" w:cs="Times New Roman"/>
                <w:color w:val="auto"/>
                <w:kern w:val="24"/>
                <w:sz w:val="21"/>
                <w:szCs w:val="21"/>
                <w:vertAlign w:val="superscript"/>
                <w:lang w:eastAsia="zh-CN"/>
              </w:rPr>
              <w:t>3</w:t>
            </w:r>
            <w:r>
              <w:rPr>
                <w:rFonts w:hint="default" w:ascii="Times New Roman" w:hAnsi="Times New Roman" w:cs="Times New Roman"/>
                <w:color w:val="auto"/>
                <w:sz w:val="21"/>
                <w:szCs w:val="21"/>
                <w:lang w:val="en-US" w:eastAsia="zh-CN"/>
              </w:rPr>
              <w:t>。</w:t>
            </w:r>
          </w:p>
          <w:p w14:paraId="2DDD9735">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三、噪声污染防治措施</w:t>
            </w:r>
          </w:p>
          <w:p w14:paraId="748AFA1E">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项目主要噪声源为木工胶造粒生产线</w:t>
            </w:r>
            <w:r>
              <w:rPr>
                <w:rFonts w:hint="eastAsia" w:ascii="Times New Roman" w:hAnsi="Times New Roman" w:cs="Times New Roman"/>
                <w:kern w:val="2"/>
                <w:sz w:val="21"/>
                <w:szCs w:val="21"/>
                <w:lang w:val="en-US" w:eastAsia="zh-CN" w:bidi="ar-SA"/>
              </w:rPr>
              <w:t>等设备</w:t>
            </w:r>
            <w:r>
              <w:rPr>
                <w:rFonts w:hint="eastAsia" w:ascii="Times New Roman" w:hAnsi="Times New Roman" w:cs="Times New Roman" w:eastAsiaTheme="minorEastAsia"/>
                <w:kern w:val="2"/>
                <w:sz w:val="21"/>
                <w:szCs w:val="21"/>
                <w:lang w:val="en-US" w:eastAsia="zh-CN" w:bidi="ar-SA"/>
              </w:rPr>
              <w:t>。项目对高噪声设备采取基础减振、隔声等措施后，厂界昼间噪声贡献值可以满足《工业企业厂界环境噪声排放标准》（GB12348-2008）</w:t>
            </w:r>
            <w:r>
              <w:rPr>
                <w:rFonts w:hint="eastAsia" w:ascii="Times New Roman" w:hAnsi="Times New Roman" w:cs="Times New Roman"/>
                <w:kern w:val="2"/>
                <w:sz w:val="21"/>
                <w:szCs w:val="21"/>
                <w:lang w:val="en-US" w:eastAsia="zh-CN" w:bidi="ar-SA"/>
              </w:rPr>
              <w:t>3</w:t>
            </w:r>
            <w:r>
              <w:rPr>
                <w:rFonts w:hint="eastAsia" w:ascii="Times New Roman" w:hAnsi="Times New Roman" w:cs="Times New Roman" w:eastAsiaTheme="minorEastAsia"/>
                <w:kern w:val="2"/>
                <w:sz w:val="21"/>
                <w:szCs w:val="21"/>
                <w:lang w:val="en-US" w:eastAsia="zh-CN" w:bidi="ar-SA"/>
              </w:rPr>
              <w:t>类标准。</w:t>
            </w:r>
          </w:p>
          <w:p w14:paraId="53CC0D1E">
            <w:pPr>
              <w:keepNext w:val="0"/>
              <w:keepLines w:val="0"/>
              <w:pageBreakBefore w:val="0"/>
              <w:widowControl w:val="0"/>
              <w:kinsoku/>
              <w:wordWrap/>
              <w:overflowPunct/>
              <w:topLinePunct w:val="0"/>
              <w:autoSpaceDE/>
              <w:autoSpaceDN/>
              <w:bidi w:val="0"/>
              <w:adjustRightInd/>
              <w:snapToGrid/>
              <w:spacing w:line="240" w:lineRule="auto"/>
              <w:ind w:right="0" w:rightChars="0"/>
              <w:jc w:val="both"/>
              <w:textAlignment w:val="auto"/>
              <w:outlineLvl w:val="9"/>
              <w:rPr>
                <w:rFonts w:hint="eastAsia"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四、固体废弃物处置措施</w:t>
            </w:r>
          </w:p>
          <w:p w14:paraId="6AB5DF00">
            <w:pPr>
              <w:pStyle w:val="11"/>
              <w:bidi w:val="0"/>
              <w:spacing w:line="240" w:lineRule="auto"/>
              <w:rPr>
                <w:rFonts w:hint="eastAsia"/>
                <w:color w:val="auto"/>
                <w:sz w:val="21"/>
                <w:szCs w:val="16"/>
              </w:rPr>
            </w:pPr>
            <w:r>
              <w:rPr>
                <w:rFonts w:hint="eastAsia"/>
                <w:color w:val="auto"/>
                <w:sz w:val="21"/>
                <w:szCs w:val="16"/>
                <w:lang w:val="en-US" w:eastAsia="zh-CN"/>
              </w:rPr>
              <w:t>（1</w:t>
            </w:r>
            <w:r>
              <w:rPr>
                <w:rFonts w:hint="eastAsia"/>
                <w:color w:val="auto"/>
                <w:sz w:val="21"/>
                <w:szCs w:val="16"/>
              </w:rPr>
              <w:t>）</w:t>
            </w:r>
            <w:r>
              <w:rPr>
                <w:color w:val="auto"/>
                <w:sz w:val="21"/>
                <w:szCs w:val="16"/>
              </w:rPr>
              <w:t>生活垃圾</w:t>
            </w:r>
            <w:r>
              <w:rPr>
                <w:rFonts w:hint="eastAsia"/>
                <w:color w:val="auto"/>
                <w:sz w:val="21"/>
                <w:szCs w:val="16"/>
                <w:lang w:eastAsia="zh-CN"/>
              </w:rPr>
              <w:t>：</w:t>
            </w:r>
            <w:r>
              <w:rPr>
                <w:rFonts w:hint="eastAsia"/>
                <w:color w:val="auto"/>
                <w:sz w:val="21"/>
                <w:szCs w:val="16"/>
              </w:rPr>
              <w:t>生活垃圾设置垃圾桶，</w:t>
            </w:r>
            <w:r>
              <w:rPr>
                <w:color w:val="auto"/>
                <w:sz w:val="21"/>
                <w:szCs w:val="16"/>
              </w:rPr>
              <w:t>收集后由环卫部门处置。</w:t>
            </w:r>
          </w:p>
          <w:p w14:paraId="13511924">
            <w:pPr>
              <w:pStyle w:val="11"/>
              <w:bidi w:val="0"/>
              <w:spacing w:line="240" w:lineRule="auto"/>
              <w:rPr>
                <w:rFonts w:hint="eastAsia"/>
                <w:color w:val="auto"/>
                <w:sz w:val="21"/>
                <w:szCs w:val="16"/>
              </w:rPr>
            </w:pPr>
            <w:r>
              <w:rPr>
                <w:rFonts w:hint="eastAsia"/>
                <w:color w:val="auto"/>
                <w:sz w:val="21"/>
                <w:szCs w:val="16"/>
              </w:rPr>
              <w:t>（</w:t>
            </w:r>
            <w:r>
              <w:rPr>
                <w:rFonts w:hint="eastAsia"/>
                <w:color w:val="auto"/>
                <w:sz w:val="21"/>
                <w:szCs w:val="16"/>
                <w:lang w:val="en-US" w:eastAsia="zh-CN"/>
              </w:rPr>
              <w:t>2</w:t>
            </w:r>
            <w:r>
              <w:rPr>
                <w:rFonts w:hint="eastAsia"/>
                <w:color w:val="auto"/>
                <w:sz w:val="21"/>
                <w:szCs w:val="16"/>
              </w:rPr>
              <w:t>）废</w:t>
            </w:r>
            <w:r>
              <w:rPr>
                <w:rFonts w:hint="eastAsia"/>
                <w:color w:val="auto"/>
                <w:sz w:val="21"/>
                <w:szCs w:val="16"/>
                <w:lang w:val="en-US" w:eastAsia="zh-CN"/>
              </w:rPr>
              <w:t>原料包装袋：废原料包装袋</w:t>
            </w:r>
            <w:r>
              <w:rPr>
                <w:rFonts w:hint="eastAsia"/>
                <w:color w:val="auto"/>
                <w:sz w:val="21"/>
                <w:szCs w:val="16"/>
              </w:rPr>
              <w:t>收集后</w:t>
            </w:r>
            <w:r>
              <w:rPr>
                <w:rFonts w:hint="eastAsia"/>
                <w:color w:val="auto"/>
                <w:sz w:val="21"/>
                <w:szCs w:val="16"/>
                <w:lang w:val="en-US" w:eastAsia="zh-CN"/>
              </w:rPr>
              <w:t>由原料厂家拉回利用。</w:t>
            </w:r>
          </w:p>
          <w:p w14:paraId="71C7B789">
            <w:pPr>
              <w:pStyle w:val="11"/>
              <w:bidi w:val="0"/>
              <w:spacing w:line="240" w:lineRule="auto"/>
              <w:rPr>
                <w:rFonts w:hint="default"/>
                <w:color w:val="auto"/>
                <w:sz w:val="21"/>
                <w:szCs w:val="16"/>
                <w:lang w:val="en-US" w:eastAsia="zh-CN"/>
              </w:rPr>
            </w:pPr>
            <w:r>
              <w:rPr>
                <w:rFonts w:hint="eastAsia"/>
                <w:color w:val="auto"/>
                <w:sz w:val="21"/>
                <w:szCs w:val="16"/>
                <w:lang w:val="en-US" w:eastAsia="zh-CN"/>
              </w:rPr>
              <w:t>（3）不合格产品：</w:t>
            </w:r>
            <w:r>
              <w:rPr>
                <w:rFonts w:hint="eastAsia" w:ascii="Times New Roman" w:hAnsi="Times New Roman" w:cs="Times New Roman"/>
                <w:b w:val="0"/>
                <w:bCs w:val="0"/>
                <w:color w:val="auto"/>
                <w:sz w:val="21"/>
                <w:szCs w:val="16"/>
                <w:u w:val="none"/>
                <w:lang w:val="en-US" w:eastAsia="zh-CN"/>
              </w:rPr>
              <w:t>不合格产品</w:t>
            </w:r>
            <w:r>
              <w:rPr>
                <w:rFonts w:hint="eastAsia"/>
                <w:color w:val="auto"/>
                <w:sz w:val="21"/>
                <w:szCs w:val="16"/>
                <w:lang w:val="en-US" w:eastAsia="zh-CN"/>
              </w:rPr>
              <w:t>直接回用于生产。</w:t>
            </w:r>
          </w:p>
          <w:p w14:paraId="4FD4F9E7">
            <w:pPr>
              <w:pStyle w:val="11"/>
              <w:bidi w:val="0"/>
              <w:spacing w:line="240" w:lineRule="auto"/>
              <w:rPr>
                <w:rFonts w:hint="default"/>
                <w:color w:val="auto"/>
                <w:sz w:val="21"/>
                <w:szCs w:val="16"/>
              </w:rPr>
            </w:pPr>
            <w:r>
              <w:rPr>
                <w:rFonts w:hint="eastAsia"/>
                <w:color w:val="auto"/>
                <w:sz w:val="21"/>
                <w:szCs w:val="16"/>
                <w:lang w:val="en-US" w:eastAsia="zh-CN"/>
              </w:rPr>
              <w:t>（4）收尘灰：</w:t>
            </w:r>
            <w:r>
              <w:rPr>
                <w:rFonts w:hint="eastAsia" w:ascii="Times New Roman" w:hAnsi="Times New Roman" w:cs="Times New Roman"/>
                <w:b w:val="0"/>
                <w:bCs w:val="0"/>
                <w:color w:val="auto"/>
                <w:sz w:val="21"/>
                <w:szCs w:val="16"/>
                <w:u w:val="none"/>
                <w:lang w:val="en-US" w:eastAsia="zh-CN"/>
              </w:rPr>
              <w:t>定期清理，回用于生产。</w:t>
            </w:r>
          </w:p>
          <w:p w14:paraId="1A575D12">
            <w:pPr>
              <w:pStyle w:val="11"/>
              <w:bidi w:val="0"/>
              <w:spacing w:line="240" w:lineRule="auto"/>
              <w:rPr>
                <w:rFonts w:hint="default" w:ascii="Times New Roman" w:hAnsi="Times New Roman" w:cs="Times New Roman"/>
                <w:b w:val="0"/>
                <w:bCs w:val="0"/>
                <w:color w:val="auto"/>
                <w:sz w:val="21"/>
                <w:szCs w:val="16"/>
                <w:u w:val="none"/>
              </w:rPr>
            </w:pPr>
            <w:r>
              <w:rPr>
                <w:rFonts w:hint="eastAsia"/>
                <w:color w:val="auto"/>
                <w:sz w:val="21"/>
                <w:szCs w:val="16"/>
                <w:lang w:eastAsia="zh-CN"/>
              </w:rPr>
              <w:t>（</w:t>
            </w:r>
            <w:r>
              <w:rPr>
                <w:rFonts w:hint="eastAsia"/>
                <w:color w:val="auto"/>
                <w:sz w:val="21"/>
                <w:szCs w:val="16"/>
                <w:lang w:val="en-US" w:eastAsia="zh-CN"/>
              </w:rPr>
              <w:t>5</w:t>
            </w:r>
            <w:r>
              <w:rPr>
                <w:rFonts w:hint="eastAsia"/>
                <w:color w:val="auto"/>
                <w:sz w:val="21"/>
                <w:szCs w:val="16"/>
                <w:lang w:eastAsia="zh-CN"/>
              </w:rPr>
              <w:t>）</w:t>
            </w:r>
            <w:r>
              <w:rPr>
                <w:rFonts w:hint="eastAsia"/>
                <w:color w:val="auto"/>
                <w:sz w:val="21"/>
                <w:szCs w:val="16"/>
                <w:lang w:val="en-US" w:eastAsia="zh-CN"/>
              </w:rPr>
              <w:t>废活性炭：</w:t>
            </w:r>
            <w:r>
              <w:rPr>
                <w:rFonts w:hint="default"/>
                <w:color w:val="auto"/>
                <w:sz w:val="21"/>
                <w:szCs w:val="16"/>
              </w:rPr>
              <w:t>废活性炭暂存于危废暂存间（</w:t>
            </w:r>
            <w:r>
              <w:rPr>
                <w:rFonts w:hint="eastAsia"/>
                <w:color w:val="auto"/>
                <w:sz w:val="21"/>
                <w:szCs w:val="16"/>
                <w:lang w:val="en-US" w:eastAsia="zh-CN"/>
              </w:rPr>
              <w:t>2</w:t>
            </w:r>
            <w:r>
              <w:rPr>
                <w:rFonts w:hint="default"/>
                <w:color w:val="auto"/>
                <w:sz w:val="21"/>
                <w:szCs w:val="16"/>
              </w:rPr>
              <w:t>m</w:t>
            </w:r>
            <w:r>
              <w:rPr>
                <w:rFonts w:hint="default"/>
                <w:color w:val="auto"/>
                <w:sz w:val="21"/>
                <w:szCs w:val="16"/>
                <w:vertAlign w:val="superscript"/>
              </w:rPr>
              <w:t>2</w:t>
            </w:r>
            <w:r>
              <w:rPr>
                <w:rFonts w:hint="default"/>
                <w:color w:val="auto"/>
                <w:sz w:val="21"/>
                <w:szCs w:val="16"/>
              </w:rPr>
              <w:t>），定期交有资质单位处理。</w:t>
            </w:r>
          </w:p>
          <w:p w14:paraId="4C9BCF1B">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420" w:firstLineChars="200"/>
              <w:jc w:val="both"/>
              <w:textAlignment w:val="auto"/>
              <w:outlineLvl w:val="9"/>
              <w:rPr>
                <w:rFonts w:hint="default" w:ascii="Times New Roman" w:hAnsi="Times New Roman" w:cs="Times New Roman" w:eastAsiaTheme="minorEastAsia"/>
                <w:kern w:val="2"/>
                <w:sz w:val="21"/>
                <w:szCs w:val="21"/>
                <w:lang w:val="en-US" w:eastAsia="zh-CN" w:bidi="ar-SA"/>
              </w:rPr>
            </w:pPr>
            <w:r>
              <w:rPr>
                <w:rFonts w:hint="eastAsia" w:ascii="Times New Roman" w:hAnsi="Times New Roman" w:cs="Times New Roman" w:eastAsiaTheme="minorEastAsia"/>
                <w:kern w:val="2"/>
                <w:sz w:val="21"/>
                <w:szCs w:val="21"/>
                <w:lang w:val="en-US" w:eastAsia="zh-CN" w:bidi="ar-SA"/>
              </w:rPr>
              <w:t>项目一般固废暂存满足《一般工业固体废物贮存和填埋污染控制标准》</w:t>
            </w:r>
            <w:r>
              <w:rPr>
                <w:rFonts w:hint="default" w:ascii="Times New Roman" w:hAnsi="Times New Roman" w:cs="Times New Roman" w:eastAsiaTheme="minorEastAsia"/>
                <w:kern w:val="2"/>
                <w:sz w:val="21"/>
                <w:szCs w:val="21"/>
                <w:lang w:val="en-US" w:eastAsia="zh-CN" w:bidi="ar-SA"/>
              </w:rPr>
              <w:t> </w:t>
            </w:r>
            <w:r>
              <w:rPr>
                <w:rFonts w:hint="eastAsia" w:ascii="Times New Roman" w:hAnsi="Times New Roman" w:cs="Times New Roman" w:eastAsiaTheme="minorEastAsia"/>
                <w:kern w:val="2"/>
                <w:sz w:val="21"/>
                <w:szCs w:val="21"/>
                <w:lang w:val="en-US" w:eastAsia="zh-CN" w:bidi="ar-SA"/>
              </w:rPr>
              <w:t>（</w:t>
            </w:r>
            <w:r>
              <w:rPr>
                <w:rFonts w:hint="default" w:ascii="Times New Roman" w:hAnsi="Times New Roman" w:cs="Times New Roman" w:eastAsiaTheme="minorEastAsia"/>
                <w:kern w:val="2"/>
                <w:sz w:val="21"/>
                <w:szCs w:val="21"/>
                <w:lang w:val="en-US" w:eastAsia="zh-CN" w:bidi="ar-SA"/>
              </w:rPr>
              <w:t>GB18599-2020</w:t>
            </w:r>
            <w:r>
              <w:rPr>
                <w:rFonts w:hint="eastAsia" w:ascii="Times New Roman" w:hAnsi="Times New Roman" w:cs="Times New Roman" w:eastAsiaTheme="minorEastAsia"/>
                <w:kern w:val="2"/>
                <w:sz w:val="21"/>
                <w:szCs w:val="21"/>
                <w:lang w:val="en-US" w:eastAsia="zh-CN" w:bidi="ar-SA"/>
              </w:rPr>
              <w:t>）</w:t>
            </w:r>
            <w:r>
              <w:rPr>
                <w:rFonts w:hint="eastAsia" w:ascii="Times New Roman" w:hAnsi="Times New Roman" w:cs="Times New Roman"/>
                <w:kern w:val="2"/>
                <w:sz w:val="21"/>
                <w:szCs w:val="21"/>
                <w:lang w:val="en-US" w:eastAsia="zh-CN" w:bidi="ar-SA"/>
              </w:rPr>
              <w:t>；危险废物满足《危险废物贮存污染控制标准》（GB18597—2023）。</w:t>
            </w:r>
          </w:p>
        </w:tc>
        <w:tc>
          <w:tcPr>
            <w:tcW w:w="883" w:type="dxa"/>
            <w:shd w:val="clear" w:color="auto" w:fill="auto"/>
            <w:vAlign w:val="top"/>
          </w:tcPr>
          <w:p w14:paraId="6007A996">
            <w:pPr>
              <w:jc w:val="center"/>
              <w:rPr>
                <w:rFonts w:hint="eastAsia" w:ascii="Times New Roman" w:hAnsi="Times New Roman" w:cs="Times New Roman" w:eastAsiaTheme="minorEastAsia"/>
                <w:kern w:val="2"/>
                <w:sz w:val="21"/>
                <w:szCs w:val="21"/>
                <w:lang w:val="en-US" w:eastAsia="zh-CN" w:bidi="ar-SA"/>
              </w:rPr>
            </w:pPr>
            <w:r>
              <w:rPr>
                <w:rFonts w:hint="eastAsia" w:ascii="Times New Roman" w:cs="Times New Roman" w:hAnsiTheme="minorEastAsia"/>
                <w:szCs w:val="21"/>
                <w:lang w:val="en-US" w:eastAsia="zh-CN"/>
              </w:rPr>
              <w:t>无</w:t>
            </w:r>
          </w:p>
        </w:tc>
      </w:tr>
    </w:tbl>
    <w:p w14:paraId="6D3AB555">
      <w:pPr>
        <w:rPr>
          <w:rFonts w:hint="eastAsia" w:ascii="Times New Roman" w:cs="Times New Roman" w:hAnsiTheme="minorEastAsia"/>
          <w:sz w:val="28"/>
          <w:szCs w:val="28"/>
        </w:rPr>
      </w:pPr>
      <w:r>
        <w:rPr>
          <w:rFonts w:hint="eastAsia" w:ascii="Times New Roman" w:cs="Times New Roman" w:hAnsiTheme="minorEastAsia"/>
          <w:sz w:val="28"/>
          <w:szCs w:val="28"/>
        </w:rPr>
        <w:t>注：根据《建设项目环境影响评价政府信息公开指南（试行）》的有关规定，上述环境影响报告书、表不含涉及国家秘密、商业秘密、个人隐私以及涉及国家安全、公共安全、经济安全和社会稳定的内容。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AFF" w:usb1="C0007841" w:usb2="00000009" w:usb3="00000000" w:csb0="400001FF" w:csb1="FFFF0000"/>
  </w:font>
  <w:font w:name="宋体">
    <w:panose1 w:val="02010600030101010101"/>
    <w:charset w:val="B1"/>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decorative"/>
    <w:pitch w:val="default"/>
    <w:sig w:usb0="E00002FF" w:usb1="4000ACFF" w:usb2="00000001" w:usb3="00000000" w:csb0="2000019F" w:csb1="00000000"/>
  </w:font>
  <w:font w:name="Calibri Light">
    <w:panose1 w:val="020F0302020204030204"/>
    <w:charset w:val="00"/>
    <w:family w:val="swiss"/>
    <w:pitch w:val="default"/>
    <w:sig w:usb0="A00002EF" w:usb1="4000207B" w:usb2="00000000"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E7358C"/>
    <w:multiLevelType w:val="singleLevel"/>
    <w:tmpl w:val="02E7358C"/>
    <w:lvl w:ilvl="0" w:tentative="0">
      <w:start w:val="1"/>
      <w:numFmt w:val="bullet"/>
      <w:pStyle w:val="5"/>
      <w:lvlText w:val=""/>
      <w:lvlJc w:val="left"/>
      <w:pPr>
        <w:tabs>
          <w:tab w:val="left" w:pos="2040"/>
        </w:tabs>
        <w:ind w:left="204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NjhhOGE3ZWFhZTIyNDg0NDI2YTRlY2RlYjAwOTEzYWIifQ=="/>
  </w:docVars>
  <w:rsids>
    <w:rsidRoot w:val="001E5CDA"/>
    <w:rsid w:val="000254D6"/>
    <w:rsid w:val="00137019"/>
    <w:rsid w:val="001E5CDA"/>
    <w:rsid w:val="00EE20F3"/>
    <w:rsid w:val="03E65CC4"/>
    <w:rsid w:val="06DA54E8"/>
    <w:rsid w:val="0704575E"/>
    <w:rsid w:val="0BA907BF"/>
    <w:rsid w:val="0C771E12"/>
    <w:rsid w:val="0D79298D"/>
    <w:rsid w:val="117F61F0"/>
    <w:rsid w:val="12187389"/>
    <w:rsid w:val="130C6140"/>
    <w:rsid w:val="1413070D"/>
    <w:rsid w:val="16707C20"/>
    <w:rsid w:val="19483C4A"/>
    <w:rsid w:val="1FC356A2"/>
    <w:rsid w:val="21BF32B8"/>
    <w:rsid w:val="226009B5"/>
    <w:rsid w:val="2473652D"/>
    <w:rsid w:val="25BB311A"/>
    <w:rsid w:val="265B3015"/>
    <w:rsid w:val="27052EC1"/>
    <w:rsid w:val="296348D8"/>
    <w:rsid w:val="2B004385"/>
    <w:rsid w:val="2B033176"/>
    <w:rsid w:val="2BC50FE3"/>
    <w:rsid w:val="2FA70495"/>
    <w:rsid w:val="303C36D2"/>
    <w:rsid w:val="32AE7C54"/>
    <w:rsid w:val="33D8698B"/>
    <w:rsid w:val="37D5281F"/>
    <w:rsid w:val="37E55F08"/>
    <w:rsid w:val="3C9B48E8"/>
    <w:rsid w:val="3CBB635D"/>
    <w:rsid w:val="3E9D1A5D"/>
    <w:rsid w:val="42D812EB"/>
    <w:rsid w:val="42F9617A"/>
    <w:rsid w:val="43486471"/>
    <w:rsid w:val="43652253"/>
    <w:rsid w:val="43BA548A"/>
    <w:rsid w:val="43C9668D"/>
    <w:rsid w:val="44244342"/>
    <w:rsid w:val="44DE708D"/>
    <w:rsid w:val="46F550A6"/>
    <w:rsid w:val="4BA6413B"/>
    <w:rsid w:val="4D7E008B"/>
    <w:rsid w:val="5248023B"/>
    <w:rsid w:val="58BE40FF"/>
    <w:rsid w:val="5C5B5395"/>
    <w:rsid w:val="5CD65E0C"/>
    <w:rsid w:val="608B31A3"/>
    <w:rsid w:val="61EC0466"/>
    <w:rsid w:val="66096A4C"/>
    <w:rsid w:val="66794BDA"/>
    <w:rsid w:val="678E52A3"/>
    <w:rsid w:val="67F91B6F"/>
    <w:rsid w:val="696541D7"/>
    <w:rsid w:val="6D443BC6"/>
    <w:rsid w:val="6D6F26C8"/>
    <w:rsid w:val="6EA249E7"/>
    <w:rsid w:val="706358A8"/>
    <w:rsid w:val="74842E37"/>
    <w:rsid w:val="77F263D0"/>
    <w:rsid w:val="7836450F"/>
    <w:rsid w:val="7A160EE6"/>
    <w:rsid w:val="7BE2675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qFormat="1"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0"/>
    <w:pPr>
      <w:keepNext/>
      <w:keepLines/>
      <w:spacing w:before="260" w:after="260" w:line="416" w:lineRule="auto"/>
      <w:outlineLvl w:val="1"/>
    </w:pPr>
    <w:rPr>
      <w:rFonts w:ascii="Calibri Light" w:hAnsi="Calibri Light" w:eastAsia="宋体" w:cs="Times New Roman"/>
      <w:b/>
      <w:bCs/>
      <w:sz w:val="32"/>
      <w:szCs w:val="32"/>
    </w:rPr>
  </w:style>
  <w:style w:type="character" w:default="1" w:styleId="9">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3">
    <w:name w:val="Normal Indent"/>
    <w:basedOn w:val="1"/>
    <w:next w:val="1"/>
    <w:qFormat/>
    <w:uiPriority w:val="0"/>
    <w:pPr>
      <w:spacing w:line="520" w:lineRule="atLeast"/>
      <w:ind w:firstLine="200"/>
    </w:pPr>
    <w:rPr>
      <w:sz w:val="28"/>
      <w:szCs w:val="21"/>
    </w:rPr>
  </w:style>
  <w:style w:type="paragraph" w:styleId="4">
    <w:name w:val="Body Text"/>
    <w:basedOn w:val="1"/>
    <w:next w:val="5"/>
    <w:qFormat/>
    <w:uiPriority w:val="0"/>
    <w:pPr>
      <w:spacing w:line="400" w:lineRule="exact"/>
    </w:pPr>
    <w:rPr>
      <w:sz w:val="28"/>
    </w:rPr>
  </w:style>
  <w:style w:type="paragraph" w:styleId="5">
    <w:name w:val="List Bullet 5"/>
    <w:basedOn w:val="1"/>
    <w:semiHidden/>
    <w:unhideWhenUsed/>
    <w:qFormat/>
    <w:uiPriority w:val="99"/>
    <w:pPr>
      <w:numPr>
        <w:ilvl w:val="0"/>
        <w:numId w:val="1"/>
      </w:numPr>
    </w:pPr>
  </w:style>
  <w:style w:type="paragraph" w:styleId="6">
    <w:name w:val="Body Text First Indent"/>
    <w:basedOn w:val="4"/>
    <w:next w:val="1"/>
    <w:unhideWhenUsed/>
    <w:qFormat/>
    <w:uiPriority w:val="0"/>
    <w:pPr>
      <w:ind w:firstLine="420" w:firstLineChars="100"/>
    </w:pPr>
  </w:style>
  <w:style w:type="table" w:styleId="8">
    <w:name w:val="Table Grid"/>
    <w:basedOn w:val="7"/>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customStyle="1" w:styleId="10">
    <w:name w:val="正文一"/>
    <w:basedOn w:val="1"/>
    <w:qFormat/>
    <w:uiPriority w:val="0"/>
    <w:pPr>
      <w:spacing w:line="600" w:lineRule="exact"/>
      <w:ind w:firstLine="200" w:firstLineChars="200"/>
    </w:pPr>
    <w:rPr>
      <w:rFonts w:ascii="Times New Roman" w:hAnsi="Times New Roman" w:eastAsia="宋体" w:cs="Times New Roman"/>
      <w:kern w:val="0"/>
      <w:sz w:val="28"/>
      <w:szCs w:val="28"/>
    </w:rPr>
  </w:style>
  <w:style w:type="paragraph" w:customStyle="1" w:styleId="11">
    <w:name w:val="※正文1111"/>
    <w:basedOn w:val="1"/>
    <w:next w:val="1"/>
    <w:autoRedefine/>
    <w:qFormat/>
    <w:uiPriority w:val="0"/>
    <w:pPr>
      <w:spacing w:line="480" w:lineRule="exact"/>
      <w:ind w:firstLine="200" w:firstLineChars="200"/>
      <w:jc w:val="left"/>
    </w:pPr>
    <w:rPr>
      <w:rFonts w:ascii="Times New Roman" w:hAnsi="Times New Roman" w:eastAsia="宋体"/>
      <w:kern w:val="0"/>
      <w:sz w:val="24"/>
      <w:szCs w:val="20"/>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1370</Words>
  <Characters>1513</Characters>
  <Lines>13</Lines>
  <Paragraphs>3</Paragraphs>
  <TotalTime>31</TotalTime>
  <ScaleCrop>false</ScaleCrop>
  <LinksUpToDate>false</LinksUpToDate>
  <CharactersWithSpaces>1515</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2024-06-04T10:25:00Z</dcterms:created>
  <dc:creator>DUGUOZHU</dc:creator>
  <cp:lastModifiedBy>晴天</cp:lastModifiedBy>
  <dcterms:modified xsi:type="dcterms:W3CDTF">2025-01-16T02:15:31Z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94860026EB3B4334A86938CA00B9B21C_12</vt:lpwstr>
  </property>
  <property fmtid="{D5CDD505-2E9C-101B-9397-08002B2CF9AE}" pid="4" name="KSOTemplateDocerSaveRecord">
    <vt:lpwstr>eyJoZGlkIjoiYjBmNjY0OWM0ZmM5NDE4NjcxYmU4ODI1ODcyMjE2NDEiLCJ1c2VySWQiOiIyNjU4MDI5ODAifQ==</vt:lpwstr>
  </property>
</Properties>
</file>