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046BDF">
      <w:pPr>
        <w:pStyle w:val="9"/>
        <w:widowControl/>
        <w:spacing w:before="330" w:beforeAutospacing="0" w:afterAutospacing="0" w:line="480" w:lineRule="atLeast"/>
        <w:ind w:firstLine="480" w:firstLineChars="200"/>
        <w:rPr>
          <w:rFonts w:hint="eastAsia" w:asciiTheme="minorEastAsia" w:hAnsiTheme="minorEastAsia" w:cstheme="minorEastAsia"/>
          <w:color w:val="0070C0"/>
        </w:rPr>
      </w:pPr>
      <w:r>
        <w:rPr>
          <w:rFonts w:hint="eastAsia" w:asciiTheme="minorEastAsia" w:hAnsiTheme="minorEastAsia" w:cstheme="minorEastAsia"/>
          <w:color w:val="0070C0"/>
        </w:rPr>
        <w:t>周口市生态环境局项城分局关于2025年1</w:t>
      </w:r>
      <w:r>
        <w:rPr>
          <w:rFonts w:hint="eastAsia" w:asciiTheme="minorEastAsia" w:hAnsiTheme="minorEastAsia" w:cstheme="minorEastAsia"/>
          <w:color w:val="0070C0"/>
          <w:lang w:val="en-US" w:eastAsia="zh-CN"/>
        </w:rPr>
        <w:t>1</w:t>
      </w:r>
      <w:r>
        <w:rPr>
          <w:rFonts w:hint="eastAsia" w:asciiTheme="minorEastAsia" w:hAnsiTheme="minorEastAsia" w:cstheme="minorEastAsia"/>
          <w:color w:val="0070C0"/>
        </w:rPr>
        <w:t>月14日—2025年1</w:t>
      </w:r>
      <w:r>
        <w:rPr>
          <w:rFonts w:hint="eastAsia" w:asciiTheme="minorEastAsia" w:hAnsiTheme="minorEastAsia" w:cstheme="minorEastAsia"/>
          <w:color w:val="0070C0"/>
          <w:lang w:val="en-US" w:eastAsia="zh-CN"/>
        </w:rPr>
        <w:t>2</w:t>
      </w:r>
      <w:r>
        <w:rPr>
          <w:rFonts w:hint="eastAsia" w:asciiTheme="minorEastAsia" w:hAnsiTheme="minorEastAsia" w:cstheme="minorEastAsia"/>
          <w:color w:val="0070C0"/>
        </w:rPr>
        <w:t>月</w:t>
      </w:r>
      <w:r>
        <w:rPr>
          <w:rFonts w:hint="eastAsia" w:asciiTheme="minorEastAsia" w:hAnsiTheme="minorEastAsia" w:cstheme="minorEastAsia"/>
          <w:color w:val="0070C0"/>
          <w:lang w:val="en-US" w:eastAsia="zh-CN"/>
        </w:rPr>
        <w:t>2</w:t>
      </w:r>
      <w:r>
        <w:rPr>
          <w:rFonts w:hint="eastAsia" w:asciiTheme="minorEastAsia" w:hAnsiTheme="minorEastAsia" w:cstheme="minorEastAsia"/>
          <w:color w:val="0070C0"/>
        </w:rPr>
        <w:t>日作出的建设项目环境影响评价文件审批决定的公告</w:t>
      </w:r>
    </w:p>
    <w:p w14:paraId="5B81B19E">
      <w:pPr>
        <w:pStyle w:val="9"/>
        <w:widowControl/>
        <w:spacing w:before="330" w:beforeAutospacing="0" w:afterAutospacing="0" w:line="480" w:lineRule="atLeast"/>
        <w:ind w:firstLine="480" w:firstLineChars="200"/>
        <w:rPr>
          <w:rFonts w:asciiTheme="minorEastAsia" w:hAnsiTheme="minorEastAsia" w:cstheme="minorEastAsia"/>
          <w:color w:val="0070C0"/>
        </w:rPr>
      </w:pPr>
      <w:r>
        <w:rPr>
          <w:rFonts w:hint="eastAsia" w:asciiTheme="minorEastAsia" w:hAnsiTheme="minorEastAsia" w:cstheme="minorEastAsia"/>
          <w:color w:val="0070C0"/>
        </w:rPr>
        <w:t>根据建设项目环境影响评价审批程序的有关规定，经审查，202</w:t>
      </w:r>
      <w:r>
        <w:rPr>
          <w:rFonts w:hint="eastAsia" w:asciiTheme="minorEastAsia" w:hAnsiTheme="minorEastAsia" w:cstheme="minorEastAsia"/>
          <w:color w:val="0070C0"/>
          <w:lang w:val="en-US" w:eastAsia="zh-CN"/>
        </w:rPr>
        <w:t>5</w:t>
      </w:r>
      <w:r>
        <w:rPr>
          <w:rFonts w:hint="eastAsia" w:asciiTheme="minorEastAsia" w:hAnsiTheme="minorEastAsia" w:cstheme="minorEastAsia"/>
          <w:color w:val="0070C0"/>
        </w:rPr>
        <w:t>年</w:t>
      </w:r>
      <w:r>
        <w:rPr>
          <w:rFonts w:hint="eastAsia" w:asciiTheme="minorEastAsia" w:hAnsiTheme="minorEastAsia" w:cstheme="minorEastAsia"/>
          <w:color w:val="0070C0"/>
          <w:lang w:val="en-US" w:eastAsia="zh-CN"/>
        </w:rPr>
        <w:t>11月14日—2025年12月2日</w:t>
      </w:r>
      <w:r>
        <w:rPr>
          <w:rFonts w:hint="eastAsia" w:asciiTheme="minorEastAsia" w:hAnsiTheme="minorEastAsia" w:cstheme="minorEastAsia"/>
          <w:color w:val="0070C0"/>
        </w:rPr>
        <w:t>我局对</w:t>
      </w:r>
      <w:r>
        <w:rPr>
          <w:rFonts w:hint="eastAsia" w:asciiTheme="minorEastAsia" w:hAnsiTheme="minorEastAsia" w:cstheme="minorEastAsia"/>
          <w:color w:val="0070C0"/>
          <w:lang w:val="en-US" w:eastAsia="zh-CN"/>
        </w:rPr>
        <w:t>4</w:t>
      </w:r>
      <w:r>
        <w:rPr>
          <w:rFonts w:hint="eastAsia" w:asciiTheme="minorEastAsia" w:hAnsiTheme="minorEastAsia" w:cstheme="minorEastAsia"/>
          <w:color w:val="0070C0"/>
        </w:rPr>
        <w:t>个建设项目环境影响评价文件作出审批决定。现将作出的审批决定予以公告。</w:t>
      </w:r>
      <w:r>
        <w:rPr>
          <w:rFonts w:hint="eastAsia" w:asciiTheme="minorEastAsia" w:hAnsiTheme="minorEastAsia" w:cstheme="minorEastAsia"/>
          <w:color w:val="0070C0"/>
          <w:lang w:val="en-US" w:eastAsia="zh-CN"/>
        </w:rPr>
        <w:t>公告期：2025年12月2日—2025年12月8日（7日）。</w:t>
      </w:r>
    </w:p>
    <w:p w14:paraId="49656237">
      <w:pPr>
        <w:pStyle w:val="9"/>
        <w:widowControl/>
        <w:spacing w:beforeAutospacing="0" w:afterAutospacing="0" w:line="525" w:lineRule="atLeast"/>
        <w:ind w:firstLine="480" w:firstLineChars="200"/>
        <w:rPr>
          <w:rFonts w:asciiTheme="minorEastAsia" w:hAnsiTheme="minorEastAsia" w:cstheme="minorEastAsia"/>
          <w:color w:val="0070C0"/>
        </w:rPr>
      </w:pPr>
      <w:r>
        <w:rPr>
          <w:rFonts w:hint="eastAsia" w:asciiTheme="minorEastAsia" w:hAnsiTheme="minorEastAsia" w:cstheme="minorEastAsia"/>
          <w:color w:val="0070C0"/>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46A96A36">
      <w:pPr>
        <w:pStyle w:val="9"/>
        <w:widowControl/>
        <w:spacing w:beforeAutospacing="0" w:afterAutospacing="0" w:line="525" w:lineRule="atLeast"/>
        <w:ind w:firstLine="480" w:firstLineChars="200"/>
        <w:rPr>
          <w:rFonts w:hint="eastAsia" w:asciiTheme="minorEastAsia" w:hAnsiTheme="minorEastAsia" w:cstheme="minorEastAsia"/>
          <w:color w:val="0070C0"/>
        </w:rPr>
      </w:pPr>
      <w:r>
        <w:rPr>
          <w:rFonts w:hint="eastAsia" w:asciiTheme="minorEastAsia" w:hAnsiTheme="minorEastAsia" w:cstheme="minorEastAsia"/>
          <w:color w:val="0070C0"/>
        </w:rPr>
        <w:t xml:space="preserve">联系电话：0394-4218036 </w:t>
      </w:r>
    </w:p>
    <w:p w14:paraId="6879BB52">
      <w:pPr>
        <w:pStyle w:val="9"/>
        <w:widowControl/>
        <w:spacing w:beforeAutospacing="0" w:afterAutospacing="0" w:line="525" w:lineRule="atLeast"/>
        <w:ind w:firstLine="480" w:firstLineChars="200"/>
        <w:rPr>
          <w:rFonts w:asciiTheme="minorEastAsia" w:hAnsiTheme="minorEastAsia" w:cstheme="minorEastAsia"/>
          <w:color w:val="0070C0"/>
        </w:rPr>
      </w:pPr>
      <w:r>
        <w:rPr>
          <w:rFonts w:hint="eastAsia" w:asciiTheme="minorEastAsia" w:hAnsiTheme="minorEastAsia" w:cstheme="minorEastAsia"/>
          <w:color w:val="0070C0"/>
        </w:rPr>
        <w:t>通讯地址：项城市市民之家二楼生态环境局窗口</w:t>
      </w:r>
    </w:p>
    <w:p w14:paraId="5E3D0DE2">
      <w:pPr>
        <w:pStyle w:val="9"/>
        <w:widowControl/>
        <w:spacing w:beforeAutospacing="0" w:afterAutospacing="0" w:line="525" w:lineRule="atLeast"/>
        <w:ind w:firstLine="480"/>
        <w:rPr>
          <w:color w:val="0070C0"/>
        </w:rPr>
      </w:pPr>
      <w:r>
        <w:rPr>
          <w:rFonts w:hint="eastAsia" w:ascii="微软雅黑" w:hAnsi="微软雅黑" w:eastAsia="微软雅黑" w:cs="微软雅黑"/>
          <w:color w:val="0070C0"/>
        </w:rPr>
        <w:t xml:space="preserve">　　                           </w:t>
      </w:r>
      <w:r>
        <w:rPr>
          <w:rStyle w:val="14"/>
          <w:rFonts w:hint="eastAsia" w:ascii="宋体" w:hAnsi="宋体" w:eastAsia="宋体" w:cs="宋体"/>
          <w:color w:val="0070C0"/>
        </w:rPr>
        <w:t>作出的建设项目环境影响评价文件审批决定</w:t>
      </w:r>
    </w:p>
    <w:tbl>
      <w:tblPr>
        <w:tblStyle w:val="12"/>
        <w:tblW w:w="128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60"/>
        <w:gridCol w:w="6742"/>
        <w:gridCol w:w="3291"/>
        <w:gridCol w:w="1924"/>
      </w:tblGrid>
      <w:tr w14:paraId="5DB66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18" w:hRule="atLeast"/>
        </w:trPr>
        <w:tc>
          <w:tcPr>
            <w:tcW w:w="860" w:type="dxa"/>
            <w:shd w:val="clear" w:color="auto" w:fill="auto"/>
            <w:tcMar>
              <w:top w:w="0" w:type="dxa"/>
              <w:left w:w="105" w:type="dxa"/>
              <w:bottom w:w="0" w:type="dxa"/>
              <w:right w:w="105" w:type="dxa"/>
            </w:tcMar>
            <w:vAlign w:val="center"/>
          </w:tcPr>
          <w:p w14:paraId="3F760831">
            <w:pPr>
              <w:pStyle w:val="9"/>
              <w:widowControl/>
              <w:spacing w:beforeAutospacing="0" w:afterAutospacing="0" w:line="300" w:lineRule="atLeast"/>
              <w:jc w:val="center"/>
              <w:rPr>
                <w:rFonts w:asciiTheme="minorEastAsia" w:hAnsiTheme="minorEastAsia" w:cstheme="minorEastAsia"/>
                <w:b/>
                <w:bCs w:val="0"/>
                <w:color w:val="0070C0"/>
                <w:sz w:val="22"/>
                <w:szCs w:val="22"/>
              </w:rPr>
            </w:pPr>
            <w:r>
              <w:rPr>
                <w:rStyle w:val="14"/>
                <w:rFonts w:hint="eastAsia" w:asciiTheme="minorEastAsia" w:hAnsiTheme="minorEastAsia" w:cstheme="minorEastAsia"/>
                <w:b/>
                <w:bCs w:val="0"/>
                <w:color w:val="0070C0"/>
                <w:sz w:val="22"/>
                <w:szCs w:val="22"/>
              </w:rPr>
              <w:t>序号</w:t>
            </w:r>
          </w:p>
        </w:tc>
        <w:tc>
          <w:tcPr>
            <w:tcW w:w="6742" w:type="dxa"/>
            <w:shd w:val="clear" w:color="auto" w:fill="auto"/>
            <w:tcMar>
              <w:top w:w="0" w:type="dxa"/>
              <w:left w:w="105" w:type="dxa"/>
              <w:bottom w:w="0" w:type="dxa"/>
              <w:right w:w="105" w:type="dxa"/>
            </w:tcMar>
            <w:vAlign w:val="center"/>
          </w:tcPr>
          <w:p w14:paraId="5919D7A1">
            <w:pPr>
              <w:pStyle w:val="9"/>
              <w:widowControl/>
              <w:spacing w:beforeAutospacing="0" w:afterAutospacing="0" w:line="240" w:lineRule="atLeast"/>
              <w:ind w:firstLine="420"/>
              <w:jc w:val="center"/>
              <w:rPr>
                <w:rFonts w:asciiTheme="minorEastAsia" w:hAnsiTheme="minorEastAsia" w:cstheme="minorEastAsia"/>
                <w:b/>
                <w:bCs w:val="0"/>
                <w:color w:val="0070C0"/>
                <w:sz w:val="22"/>
                <w:szCs w:val="22"/>
              </w:rPr>
            </w:pPr>
            <w:r>
              <w:rPr>
                <w:rStyle w:val="14"/>
                <w:rFonts w:hint="eastAsia" w:asciiTheme="minorEastAsia" w:hAnsiTheme="minorEastAsia" w:cstheme="minorEastAsia"/>
                <w:b/>
                <w:bCs w:val="0"/>
                <w:color w:val="0070C0"/>
                <w:sz w:val="22"/>
                <w:szCs w:val="22"/>
              </w:rPr>
              <w:t>文件名称</w:t>
            </w:r>
          </w:p>
        </w:tc>
        <w:tc>
          <w:tcPr>
            <w:tcW w:w="3291" w:type="dxa"/>
            <w:shd w:val="clear" w:color="auto" w:fill="auto"/>
            <w:tcMar>
              <w:top w:w="0" w:type="dxa"/>
              <w:left w:w="105" w:type="dxa"/>
              <w:bottom w:w="0" w:type="dxa"/>
              <w:right w:w="105" w:type="dxa"/>
            </w:tcMar>
            <w:vAlign w:val="center"/>
          </w:tcPr>
          <w:p w14:paraId="0088E4D3">
            <w:pPr>
              <w:pStyle w:val="9"/>
              <w:widowControl/>
              <w:spacing w:beforeAutospacing="0" w:afterAutospacing="0" w:line="300" w:lineRule="atLeast"/>
              <w:ind w:firstLine="420"/>
              <w:jc w:val="center"/>
              <w:rPr>
                <w:rFonts w:asciiTheme="minorEastAsia" w:hAnsiTheme="minorEastAsia" w:cstheme="minorEastAsia"/>
                <w:b/>
                <w:bCs w:val="0"/>
                <w:color w:val="0070C0"/>
                <w:sz w:val="22"/>
                <w:szCs w:val="22"/>
              </w:rPr>
            </w:pPr>
            <w:r>
              <w:rPr>
                <w:rStyle w:val="14"/>
                <w:rFonts w:hint="eastAsia" w:asciiTheme="minorEastAsia" w:hAnsiTheme="minorEastAsia" w:cstheme="minorEastAsia"/>
                <w:b/>
                <w:bCs w:val="0"/>
                <w:color w:val="0070C0"/>
                <w:sz w:val="22"/>
                <w:szCs w:val="22"/>
                <w:lang w:val="en-US" w:eastAsia="zh-CN"/>
              </w:rPr>
              <w:t>批复</w:t>
            </w:r>
            <w:r>
              <w:rPr>
                <w:rStyle w:val="14"/>
                <w:rFonts w:hint="eastAsia" w:asciiTheme="minorEastAsia" w:hAnsiTheme="minorEastAsia" w:cstheme="minorEastAsia"/>
                <w:b/>
                <w:bCs w:val="0"/>
                <w:color w:val="0070C0"/>
                <w:sz w:val="22"/>
                <w:szCs w:val="22"/>
              </w:rPr>
              <w:t>文号</w:t>
            </w:r>
          </w:p>
        </w:tc>
        <w:tc>
          <w:tcPr>
            <w:tcW w:w="1924" w:type="dxa"/>
            <w:shd w:val="clear" w:color="auto" w:fill="auto"/>
            <w:tcMar>
              <w:top w:w="0" w:type="dxa"/>
              <w:left w:w="105" w:type="dxa"/>
              <w:bottom w:w="0" w:type="dxa"/>
              <w:right w:w="105" w:type="dxa"/>
            </w:tcMar>
            <w:vAlign w:val="center"/>
          </w:tcPr>
          <w:p w14:paraId="05D9537E">
            <w:pPr>
              <w:pStyle w:val="9"/>
              <w:widowControl/>
              <w:spacing w:beforeAutospacing="0" w:afterAutospacing="0" w:line="300" w:lineRule="atLeast"/>
              <w:ind w:firstLine="420"/>
              <w:jc w:val="both"/>
              <w:rPr>
                <w:rFonts w:asciiTheme="minorEastAsia" w:hAnsiTheme="minorEastAsia" w:cstheme="minorEastAsia"/>
                <w:b/>
                <w:bCs w:val="0"/>
                <w:color w:val="0070C0"/>
                <w:sz w:val="22"/>
                <w:szCs w:val="22"/>
              </w:rPr>
            </w:pPr>
            <w:r>
              <w:rPr>
                <w:rStyle w:val="14"/>
                <w:rFonts w:hint="eastAsia" w:asciiTheme="minorEastAsia" w:hAnsiTheme="minorEastAsia" w:cstheme="minorEastAsia"/>
                <w:b/>
                <w:bCs w:val="0"/>
                <w:color w:val="0070C0"/>
                <w:sz w:val="22"/>
                <w:szCs w:val="22"/>
              </w:rPr>
              <w:t>时间</w:t>
            </w:r>
          </w:p>
        </w:tc>
      </w:tr>
      <w:tr w14:paraId="720BA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31" w:hRule="atLeast"/>
        </w:trPr>
        <w:tc>
          <w:tcPr>
            <w:tcW w:w="860" w:type="dxa"/>
            <w:shd w:val="clear" w:color="auto" w:fill="auto"/>
            <w:tcMar>
              <w:top w:w="0" w:type="dxa"/>
              <w:left w:w="105" w:type="dxa"/>
              <w:bottom w:w="0" w:type="dxa"/>
              <w:right w:w="105" w:type="dxa"/>
            </w:tcMar>
            <w:vAlign w:val="center"/>
          </w:tcPr>
          <w:p w14:paraId="527B13C6">
            <w:pPr>
              <w:pStyle w:val="9"/>
              <w:widowControl/>
              <w:spacing w:beforeAutospacing="0" w:afterAutospacing="0"/>
              <w:ind w:firstLine="420"/>
              <w:jc w:val="both"/>
              <w:textAlignment w:val="center"/>
              <w:rPr>
                <w:rFonts w:asciiTheme="minorEastAsia" w:hAnsiTheme="minorEastAsia" w:cstheme="minorEastAsia"/>
                <w:bCs/>
                <w:color w:val="0070C0"/>
                <w:sz w:val="21"/>
                <w:szCs w:val="21"/>
              </w:rPr>
            </w:pPr>
            <w:r>
              <w:rPr>
                <w:rFonts w:hint="eastAsia" w:asciiTheme="minorEastAsia" w:hAnsiTheme="minorEastAsia" w:cstheme="minorEastAsia"/>
                <w:bCs/>
                <w:color w:val="0070C0"/>
                <w:sz w:val="21"/>
                <w:szCs w:val="21"/>
              </w:rPr>
              <w:t>1</w:t>
            </w:r>
          </w:p>
        </w:tc>
        <w:tc>
          <w:tcPr>
            <w:tcW w:w="6742" w:type="dxa"/>
            <w:shd w:val="clear" w:color="auto" w:fill="auto"/>
            <w:tcMar>
              <w:top w:w="0" w:type="dxa"/>
              <w:left w:w="105" w:type="dxa"/>
              <w:bottom w:w="0" w:type="dxa"/>
              <w:right w:w="105" w:type="dxa"/>
            </w:tcMar>
            <w:vAlign w:val="center"/>
          </w:tcPr>
          <w:p w14:paraId="0506E68A">
            <w:pPr>
              <w:keepNext w:val="0"/>
              <w:keepLines w:val="0"/>
              <w:widowControl/>
              <w:suppressLineNumbers w:val="0"/>
              <w:jc w:val="center"/>
              <w:textAlignment w:val="center"/>
              <w:rPr>
                <w:rStyle w:val="14"/>
                <w:rFonts w:hint="eastAsia"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关于河南派洛德再生资源有限公司年回收拆解1000辆报废农业机械项目环境影响报告表的批复</w:t>
            </w:r>
          </w:p>
        </w:tc>
        <w:tc>
          <w:tcPr>
            <w:tcW w:w="3291" w:type="dxa"/>
            <w:shd w:val="clear" w:color="auto" w:fill="auto"/>
            <w:tcMar>
              <w:top w:w="0" w:type="dxa"/>
              <w:left w:w="105" w:type="dxa"/>
              <w:bottom w:w="0" w:type="dxa"/>
              <w:right w:w="105" w:type="dxa"/>
            </w:tcMar>
            <w:vAlign w:val="center"/>
          </w:tcPr>
          <w:p w14:paraId="5F7F3459">
            <w:pPr>
              <w:keepNext w:val="0"/>
              <w:keepLines w:val="0"/>
              <w:widowControl/>
              <w:suppressLineNumbers w:val="0"/>
              <w:jc w:val="center"/>
              <w:textAlignment w:val="center"/>
              <w:rPr>
                <w:rStyle w:val="14"/>
                <w:rFonts w:hint="eastAsia"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项环审[2025]16号</w:t>
            </w:r>
          </w:p>
        </w:tc>
        <w:tc>
          <w:tcPr>
            <w:tcW w:w="1924" w:type="dxa"/>
            <w:shd w:val="clear" w:color="auto" w:fill="auto"/>
            <w:tcMar>
              <w:top w:w="0" w:type="dxa"/>
              <w:left w:w="105" w:type="dxa"/>
              <w:bottom w:w="0" w:type="dxa"/>
              <w:right w:w="105" w:type="dxa"/>
            </w:tcMar>
            <w:vAlign w:val="center"/>
          </w:tcPr>
          <w:p w14:paraId="5783C312">
            <w:pPr>
              <w:keepNext w:val="0"/>
              <w:keepLines w:val="0"/>
              <w:widowControl/>
              <w:suppressLineNumbers w:val="0"/>
              <w:jc w:val="center"/>
              <w:textAlignment w:val="center"/>
              <w:rPr>
                <w:rStyle w:val="14"/>
                <w:rFonts w:hint="default"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2025.11.14</w:t>
            </w:r>
          </w:p>
        </w:tc>
      </w:tr>
      <w:tr w14:paraId="16168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31" w:hRule="atLeast"/>
        </w:trPr>
        <w:tc>
          <w:tcPr>
            <w:tcW w:w="860" w:type="dxa"/>
            <w:shd w:val="clear" w:color="auto" w:fill="auto"/>
            <w:tcMar>
              <w:top w:w="0" w:type="dxa"/>
              <w:left w:w="105" w:type="dxa"/>
              <w:bottom w:w="0" w:type="dxa"/>
              <w:right w:w="105" w:type="dxa"/>
            </w:tcMar>
            <w:vAlign w:val="center"/>
          </w:tcPr>
          <w:p w14:paraId="64A167A4">
            <w:pPr>
              <w:pStyle w:val="9"/>
              <w:widowControl/>
              <w:spacing w:beforeAutospacing="0" w:afterAutospacing="0"/>
              <w:ind w:firstLine="420"/>
              <w:jc w:val="both"/>
              <w:textAlignment w:val="center"/>
              <w:rPr>
                <w:rFonts w:hint="eastAsia" w:asciiTheme="minorEastAsia" w:hAnsiTheme="minorEastAsia" w:eastAsiaTheme="minorEastAsia" w:cstheme="minorEastAsia"/>
                <w:bCs/>
                <w:color w:val="0070C0"/>
                <w:sz w:val="21"/>
                <w:szCs w:val="21"/>
                <w:lang w:val="en-US" w:eastAsia="zh-CN"/>
              </w:rPr>
            </w:pPr>
            <w:r>
              <w:rPr>
                <w:rFonts w:hint="eastAsia" w:asciiTheme="minorEastAsia" w:hAnsiTheme="minorEastAsia" w:cstheme="minorEastAsia"/>
                <w:bCs/>
                <w:color w:val="0070C0"/>
                <w:sz w:val="21"/>
                <w:szCs w:val="21"/>
                <w:lang w:val="en-US" w:eastAsia="zh-CN"/>
              </w:rPr>
              <w:t>2</w:t>
            </w:r>
          </w:p>
        </w:tc>
        <w:tc>
          <w:tcPr>
            <w:tcW w:w="6742" w:type="dxa"/>
            <w:shd w:val="clear" w:color="auto" w:fill="auto"/>
            <w:tcMar>
              <w:top w:w="0" w:type="dxa"/>
              <w:left w:w="105" w:type="dxa"/>
              <w:bottom w:w="0" w:type="dxa"/>
              <w:right w:w="105" w:type="dxa"/>
            </w:tcMar>
            <w:vAlign w:val="center"/>
          </w:tcPr>
          <w:p w14:paraId="753F112D">
            <w:pPr>
              <w:keepNext w:val="0"/>
              <w:keepLines w:val="0"/>
              <w:widowControl/>
              <w:suppressLineNumbers w:val="0"/>
              <w:jc w:val="center"/>
              <w:textAlignment w:val="center"/>
              <w:rPr>
                <w:rStyle w:val="14"/>
                <w:rFonts w:hint="eastAsia"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关于河南佰济方药业有限公司智慧中药集中代煎项目环境影响报告表的批复</w:t>
            </w:r>
          </w:p>
        </w:tc>
        <w:tc>
          <w:tcPr>
            <w:tcW w:w="3291" w:type="dxa"/>
            <w:shd w:val="clear" w:color="auto" w:fill="auto"/>
            <w:tcMar>
              <w:top w:w="0" w:type="dxa"/>
              <w:left w:w="105" w:type="dxa"/>
              <w:bottom w:w="0" w:type="dxa"/>
              <w:right w:w="105" w:type="dxa"/>
            </w:tcMar>
            <w:vAlign w:val="center"/>
          </w:tcPr>
          <w:p w14:paraId="5E4C83DB">
            <w:pPr>
              <w:keepNext w:val="0"/>
              <w:keepLines w:val="0"/>
              <w:widowControl/>
              <w:suppressLineNumbers w:val="0"/>
              <w:jc w:val="center"/>
              <w:textAlignment w:val="center"/>
              <w:rPr>
                <w:rStyle w:val="14"/>
                <w:rFonts w:hint="eastAsia"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项环审[2025]17号</w:t>
            </w:r>
          </w:p>
        </w:tc>
        <w:tc>
          <w:tcPr>
            <w:tcW w:w="1924" w:type="dxa"/>
            <w:shd w:val="clear" w:color="auto" w:fill="auto"/>
            <w:tcMar>
              <w:top w:w="0" w:type="dxa"/>
              <w:left w:w="105" w:type="dxa"/>
              <w:bottom w:w="0" w:type="dxa"/>
              <w:right w:w="105" w:type="dxa"/>
            </w:tcMar>
            <w:vAlign w:val="center"/>
          </w:tcPr>
          <w:p w14:paraId="37714F99">
            <w:pPr>
              <w:keepNext w:val="0"/>
              <w:keepLines w:val="0"/>
              <w:widowControl/>
              <w:suppressLineNumbers w:val="0"/>
              <w:jc w:val="center"/>
              <w:textAlignment w:val="center"/>
              <w:rPr>
                <w:rStyle w:val="14"/>
                <w:rFonts w:hint="default"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2025.11.19</w:t>
            </w:r>
          </w:p>
        </w:tc>
      </w:tr>
      <w:tr w14:paraId="7AD6C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31" w:hRule="atLeast"/>
        </w:trPr>
        <w:tc>
          <w:tcPr>
            <w:tcW w:w="860" w:type="dxa"/>
            <w:shd w:val="clear" w:color="auto" w:fill="auto"/>
            <w:tcMar>
              <w:top w:w="0" w:type="dxa"/>
              <w:left w:w="105" w:type="dxa"/>
              <w:bottom w:w="0" w:type="dxa"/>
              <w:right w:w="105" w:type="dxa"/>
            </w:tcMar>
            <w:vAlign w:val="center"/>
          </w:tcPr>
          <w:p w14:paraId="51558FEA">
            <w:pPr>
              <w:pStyle w:val="9"/>
              <w:widowControl/>
              <w:spacing w:beforeAutospacing="0" w:afterAutospacing="0"/>
              <w:ind w:firstLine="420"/>
              <w:jc w:val="both"/>
              <w:textAlignment w:val="center"/>
              <w:rPr>
                <w:rFonts w:hint="eastAsia" w:asciiTheme="minorEastAsia" w:hAnsiTheme="minorEastAsia" w:eastAsiaTheme="minorEastAsia" w:cstheme="minorEastAsia"/>
                <w:bCs/>
                <w:color w:val="0070C0"/>
                <w:sz w:val="21"/>
                <w:szCs w:val="21"/>
                <w:lang w:val="en-US" w:eastAsia="zh-CN"/>
              </w:rPr>
            </w:pPr>
            <w:r>
              <w:rPr>
                <w:rFonts w:hint="eastAsia" w:asciiTheme="minorEastAsia" w:hAnsiTheme="minorEastAsia" w:cstheme="minorEastAsia"/>
                <w:bCs/>
                <w:color w:val="0070C0"/>
                <w:sz w:val="21"/>
                <w:szCs w:val="21"/>
                <w:lang w:val="en-US" w:eastAsia="zh-CN"/>
              </w:rPr>
              <w:t>3</w:t>
            </w:r>
          </w:p>
        </w:tc>
        <w:tc>
          <w:tcPr>
            <w:tcW w:w="6742" w:type="dxa"/>
            <w:shd w:val="clear" w:color="auto" w:fill="auto"/>
            <w:tcMar>
              <w:top w:w="0" w:type="dxa"/>
              <w:left w:w="105" w:type="dxa"/>
              <w:bottom w:w="0" w:type="dxa"/>
              <w:right w:w="105" w:type="dxa"/>
            </w:tcMar>
            <w:vAlign w:val="center"/>
          </w:tcPr>
          <w:p w14:paraId="3D61D997">
            <w:pPr>
              <w:keepNext w:val="0"/>
              <w:keepLines w:val="0"/>
              <w:widowControl/>
              <w:suppressLineNumbers w:val="0"/>
              <w:jc w:val="center"/>
              <w:textAlignment w:val="center"/>
              <w:rPr>
                <w:rStyle w:val="14"/>
                <w:rFonts w:hint="eastAsia"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关于河南誉璟豪新材料科技有限公司年产1000吨可降解塑料薄膜项目环境影响报告表的批复</w:t>
            </w:r>
          </w:p>
        </w:tc>
        <w:tc>
          <w:tcPr>
            <w:tcW w:w="3291" w:type="dxa"/>
            <w:shd w:val="clear" w:color="auto" w:fill="auto"/>
            <w:tcMar>
              <w:top w:w="0" w:type="dxa"/>
              <w:left w:w="105" w:type="dxa"/>
              <w:bottom w:w="0" w:type="dxa"/>
              <w:right w:w="105" w:type="dxa"/>
            </w:tcMar>
            <w:vAlign w:val="center"/>
          </w:tcPr>
          <w:p w14:paraId="40656EB0">
            <w:pPr>
              <w:keepNext w:val="0"/>
              <w:keepLines w:val="0"/>
              <w:widowControl/>
              <w:suppressLineNumbers w:val="0"/>
              <w:jc w:val="center"/>
              <w:textAlignment w:val="center"/>
              <w:rPr>
                <w:rStyle w:val="14"/>
                <w:rFonts w:hint="eastAsia"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项环审[2025]18号</w:t>
            </w:r>
          </w:p>
        </w:tc>
        <w:tc>
          <w:tcPr>
            <w:tcW w:w="1924" w:type="dxa"/>
            <w:shd w:val="clear" w:color="auto" w:fill="auto"/>
            <w:tcMar>
              <w:top w:w="0" w:type="dxa"/>
              <w:left w:w="105" w:type="dxa"/>
              <w:bottom w:w="0" w:type="dxa"/>
              <w:right w:w="105" w:type="dxa"/>
            </w:tcMar>
            <w:vAlign w:val="center"/>
          </w:tcPr>
          <w:p w14:paraId="3AA3E959">
            <w:pPr>
              <w:keepNext w:val="0"/>
              <w:keepLines w:val="0"/>
              <w:widowControl/>
              <w:suppressLineNumbers w:val="0"/>
              <w:jc w:val="center"/>
              <w:textAlignment w:val="center"/>
              <w:rPr>
                <w:rStyle w:val="14"/>
                <w:rFonts w:hint="default"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2025.12.1</w:t>
            </w:r>
          </w:p>
        </w:tc>
      </w:tr>
      <w:tr w14:paraId="5DC5F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31" w:hRule="atLeast"/>
        </w:trPr>
        <w:tc>
          <w:tcPr>
            <w:tcW w:w="860" w:type="dxa"/>
            <w:shd w:val="clear" w:color="auto" w:fill="auto"/>
            <w:tcMar>
              <w:top w:w="0" w:type="dxa"/>
              <w:left w:w="105" w:type="dxa"/>
              <w:bottom w:w="0" w:type="dxa"/>
              <w:right w:w="105" w:type="dxa"/>
            </w:tcMar>
            <w:vAlign w:val="center"/>
          </w:tcPr>
          <w:p w14:paraId="239D7045">
            <w:pPr>
              <w:pStyle w:val="9"/>
              <w:widowControl/>
              <w:spacing w:beforeAutospacing="0" w:afterAutospacing="0"/>
              <w:ind w:firstLine="420"/>
              <w:jc w:val="both"/>
              <w:textAlignment w:val="center"/>
              <w:rPr>
                <w:rFonts w:hint="default" w:asciiTheme="minorEastAsia" w:hAnsiTheme="minorEastAsia" w:cstheme="minorEastAsia"/>
                <w:bCs/>
                <w:color w:val="0070C0"/>
                <w:sz w:val="21"/>
                <w:szCs w:val="21"/>
                <w:lang w:val="en-US" w:eastAsia="zh-CN"/>
              </w:rPr>
            </w:pPr>
            <w:r>
              <w:rPr>
                <w:rFonts w:hint="eastAsia" w:asciiTheme="minorEastAsia" w:hAnsiTheme="minorEastAsia" w:cstheme="minorEastAsia"/>
                <w:bCs/>
                <w:color w:val="0070C0"/>
                <w:sz w:val="21"/>
                <w:szCs w:val="21"/>
                <w:lang w:val="en-US" w:eastAsia="zh-CN"/>
              </w:rPr>
              <w:t>4</w:t>
            </w:r>
          </w:p>
        </w:tc>
        <w:tc>
          <w:tcPr>
            <w:tcW w:w="6742" w:type="dxa"/>
            <w:shd w:val="clear" w:color="auto" w:fill="auto"/>
            <w:tcMar>
              <w:top w:w="0" w:type="dxa"/>
              <w:left w:w="105" w:type="dxa"/>
              <w:bottom w:w="0" w:type="dxa"/>
              <w:right w:w="105" w:type="dxa"/>
            </w:tcMar>
            <w:vAlign w:val="center"/>
          </w:tcPr>
          <w:p w14:paraId="19C7196A">
            <w:pPr>
              <w:keepNext w:val="0"/>
              <w:keepLines w:val="0"/>
              <w:widowControl/>
              <w:suppressLineNumbers w:val="0"/>
              <w:jc w:val="center"/>
              <w:textAlignment w:val="center"/>
              <w:rPr>
                <w:rStyle w:val="14"/>
                <w:rFonts w:hint="eastAsia"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关于国电投周口燃气热电有限公司20t/h蒸汽燃气启动锅炉项目环境影响报告表的批复</w:t>
            </w:r>
          </w:p>
        </w:tc>
        <w:tc>
          <w:tcPr>
            <w:tcW w:w="3291" w:type="dxa"/>
            <w:shd w:val="clear" w:color="auto" w:fill="auto"/>
            <w:tcMar>
              <w:top w:w="0" w:type="dxa"/>
              <w:left w:w="105" w:type="dxa"/>
              <w:bottom w:w="0" w:type="dxa"/>
              <w:right w:w="105" w:type="dxa"/>
            </w:tcMar>
            <w:vAlign w:val="center"/>
          </w:tcPr>
          <w:p w14:paraId="61AB2B98">
            <w:pPr>
              <w:keepNext w:val="0"/>
              <w:keepLines w:val="0"/>
              <w:widowControl/>
              <w:suppressLineNumbers w:val="0"/>
              <w:jc w:val="center"/>
              <w:textAlignment w:val="center"/>
              <w:rPr>
                <w:rStyle w:val="14"/>
                <w:rFonts w:hint="eastAsia"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项环审[2025]19号</w:t>
            </w:r>
          </w:p>
        </w:tc>
        <w:tc>
          <w:tcPr>
            <w:tcW w:w="1924" w:type="dxa"/>
            <w:shd w:val="clear" w:color="auto" w:fill="auto"/>
            <w:tcMar>
              <w:top w:w="0" w:type="dxa"/>
              <w:left w:w="105" w:type="dxa"/>
              <w:bottom w:w="0" w:type="dxa"/>
              <w:right w:w="105" w:type="dxa"/>
            </w:tcMar>
            <w:vAlign w:val="center"/>
          </w:tcPr>
          <w:p w14:paraId="08A71478">
            <w:pPr>
              <w:keepNext w:val="0"/>
              <w:keepLines w:val="0"/>
              <w:widowControl/>
              <w:suppressLineNumbers w:val="0"/>
              <w:jc w:val="center"/>
              <w:textAlignment w:val="center"/>
              <w:rPr>
                <w:rStyle w:val="14"/>
                <w:rFonts w:hint="eastAsia" w:eastAsia="宋体" w:asciiTheme="minorEastAsia" w:hAnsiTheme="minorEastAsia" w:cstheme="minorEastAsia"/>
                <w:b w:val="0"/>
                <w:bCs/>
                <w:color w:val="0070C0"/>
                <w:kern w:val="0"/>
                <w:sz w:val="22"/>
                <w:szCs w:val="22"/>
                <w:lang w:val="en-US" w:eastAsia="zh-CN" w:bidi="ar-SA"/>
              </w:rPr>
            </w:pPr>
            <w:r>
              <w:rPr>
                <w:rStyle w:val="14"/>
                <w:rFonts w:hint="eastAsia" w:eastAsia="宋体" w:asciiTheme="minorEastAsia" w:hAnsiTheme="minorEastAsia" w:cstheme="minorEastAsia"/>
                <w:b w:val="0"/>
                <w:bCs/>
                <w:color w:val="0070C0"/>
                <w:kern w:val="0"/>
                <w:sz w:val="22"/>
                <w:szCs w:val="22"/>
                <w:lang w:val="en-US" w:eastAsia="zh-CN" w:bidi="ar-SA"/>
              </w:rPr>
              <w:t>2025.12.2</w:t>
            </w:r>
          </w:p>
        </w:tc>
      </w:tr>
    </w:tbl>
    <w:p w14:paraId="2E21347B">
      <w:pPr>
        <w:pStyle w:val="9"/>
        <w:widowControl/>
        <w:numPr>
          <w:ilvl w:val="0"/>
          <w:numId w:val="0"/>
        </w:numPr>
        <w:spacing w:beforeAutospacing="0" w:afterAutospacing="0"/>
        <w:jc w:val="both"/>
        <w:textAlignment w:val="center"/>
        <w:rPr>
          <w:rFonts w:hint="eastAsia" w:asciiTheme="minorEastAsia" w:hAnsiTheme="minorEastAsia" w:cstheme="minorEastAsia"/>
          <w:bCs/>
          <w:color w:val="0070C0"/>
          <w:sz w:val="22"/>
          <w:szCs w:val="22"/>
          <w:lang w:val="en-US" w:eastAsia="zh-CN"/>
        </w:rPr>
      </w:pPr>
    </w:p>
    <w:p w14:paraId="605198DE">
      <w:pPr>
        <w:pStyle w:val="9"/>
        <w:widowControl/>
        <w:numPr>
          <w:ilvl w:val="0"/>
          <w:numId w:val="0"/>
        </w:numPr>
        <w:spacing w:beforeAutospacing="0" w:afterAutospacing="0"/>
        <w:ind w:left="660" w:leftChars="0"/>
        <w:jc w:val="both"/>
        <w:textAlignment w:val="center"/>
        <w:rPr>
          <w:rFonts w:hint="eastAsia" w:asciiTheme="minorEastAsia" w:hAnsiTheme="minorEastAsia" w:cstheme="minorEastAsia"/>
          <w:bCs/>
          <w:color w:val="0070C0"/>
          <w:sz w:val="22"/>
          <w:szCs w:val="22"/>
          <w:lang w:val="en-US" w:eastAsia="zh-CN"/>
        </w:rPr>
      </w:pPr>
    </w:p>
    <w:p w14:paraId="0F6BD3E3">
      <w:pPr>
        <w:pStyle w:val="9"/>
        <w:widowControl/>
        <w:numPr>
          <w:ilvl w:val="0"/>
          <w:numId w:val="0"/>
        </w:numPr>
        <w:spacing w:beforeAutospacing="0" w:afterAutospacing="0"/>
        <w:ind w:left="660" w:leftChars="0"/>
        <w:jc w:val="both"/>
        <w:textAlignment w:val="center"/>
        <w:rPr>
          <w:rFonts w:hint="eastAsia" w:asciiTheme="minorEastAsia" w:hAnsiTheme="minorEastAsia" w:cstheme="minorEastAsia"/>
          <w:bCs/>
          <w:color w:val="0070C0"/>
          <w:sz w:val="22"/>
          <w:szCs w:val="22"/>
          <w:lang w:val="en-US" w:eastAsia="zh-CN"/>
        </w:rPr>
      </w:pPr>
      <w:r>
        <w:rPr>
          <w:rFonts w:hint="eastAsia" w:asciiTheme="minorEastAsia" w:hAnsiTheme="minorEastAsia" w:cstheme="minorEastAsia"/>
          <w:bCs/>
          <w:color w:val="0070C0"/>
          <w:sz w:val="22"/>
          <w:szCs w:val="22"/>
          <w:lang w:val="en-US" w:eastAsia="zh-CN"/>
        </w:rPr>
        <w:t>附件：项目环评批复</w:t>
      </w:r>
    </w:p>
    <w:p w14:paraId="31D639FF">
      <w:pPr>
        <w:pStyle w:val="9"/>
        <w:widowControl/>
        <w:numPr>
          <w:ilvl w:val="0"/>
          <w:numId w:val="0"/>
        </w:numPr>
        <w:spacing w:beforeAutospacing="0" w:afterAutospacing="0"/>
        <w:ind w:firstLine="1320" w:firstLineChars="600"/>
        <w:jc w:val="both"/>
        <w:textAlignment w:val="center"/>
        <w:rPr>
          <w:rFonts w:hint="eastAsia" w:asciiTheme="minorEastAsia" w:hAnsiTheme="minorEastAsia" w:cstheme="minorEastAsia"/>
          <w:bCs/>
          <w:color w:val="0070C0"/>
          <w:sz w:val="22"/>
          <w:szCs w:val="22"/>
          <w:lang w:val="en-US" w:eastAsia="zh-CN"/>
        </w:rPr>
      </w:pPr>
      <w:r>
        <w:rPr>
          <w:rFonts w:hint="eastAsia" w:asciiTheme="minorEastAsia" w:hAnsiTheme="minorEastAsia" w:cstheme="minorEastAsia"/>
          <w:bCs/>
          <w:color w:val="0070C0"/>
          <w:sz w:val="22"/>
          <w:szCs w:val="22"/>
          <w:lang w:val="en-US" w:eastAsia="zh-CN"/>
        </w:rPr>
        <w:t xml:space="preserve">1.链接: https://pan.baidu.com/s/1F30tSmLyetOFBbK9dToQSQ?pwd=5y98 提取码: 5y98 </w:t>
      </w:r>
    </w:p>
    <w:p w14:paraId="33C95686">
      <w:pPr>
        <w:pStyle w:val="9"/>
        <w:widowControl/>
        <w:numPr>
          <w:ilvl w:val="0"/>
          <w:numId w:val="0"/>
        </w:numPr>
        <w:spacing w:beforeAutospacing="0" w:afterAutospacing="0"/>
        <w:ind w:firstLine="1320" w:firstLineChars="600"/>
        <w:jc w:val="both"/>
        <w:textAlignment w:val="center"/>
        <w:rPr>
          <w:rFonts w:hint="eastAsia" w:asciiTheme="minorEastAsia" w:hAnsiTheme="minorEastAsia" w:cstheme="minorEastAsia"/>
          <w:bCs/>
          <w:color w:val="0070C0"/>
          <w:sz w:val="22"/>
          <w:szCs w:val="22"/>
          <w:lang w:val="en-US" w:eastAsia="zh-CN"/>
        </w:rPr>
      </w:pPr>
      <w:r>
        <w:rPr>
          <w:rFonts w:hint="eastAsia" w:asciiTheme="minorEastAsia" w:hAnsiTheme="minorEastAsia" w:cstheme="minorEastAsia"/>
          <w:bCs/>
          <w:color w:val="0070C0"/>
          <w:sz w:val="22"/>
          <w:szCs w:val="22"/>
          <w:lang w:val="en-US" w:eastAsia="zh-CN"/>
        </w:rPr>
        <w:t xml:space="preserve">2.链接: https://pan.baidu.com/s/1kFqv-Mh7-AD3xoNvjnsVtA?pwd=5fr7 提取码: 5fr7 </w:t>
      </w:r>
    </w:p>
    <w:p w14:paraId="221DBACF">
      <w:pPr>
        <w:pStyle w:val="9"/>
        <w:widowControl/>
        <w:numPr>
          <w:ilvl w:val="0"/>
          <w:numId w:val="0"/>
        </w:numPr>
        <w:spacing w:beforeAutospacing="0" w:afterAutospacing="0"/>
        <w:ind w:left="660" w:leftChars="0" w:firstLine="660" w:firstLineChars="300"/>
        <w:jc w:val="both"/>
        <w:textAlignment w:val="center"/>
        <w:rPr>
          <w:rFonts w:hint="eastAsia" w:asciiTheme="minorEastAsia" w:hAnsiTheme="minorEastAsia" w:cstheme="minorEastAsia"/>
          <w:bCs/>
          <w:color w:val="0070C0"/>
          <w:sz w:val="22"/>
          <w:szCs w:val="22"/>
          <w:lang w:val="en-US" w:eastAsia="zh-CN"/>
        </w:rPr>
      </w:pPr>
      <w:r>
        <w:rPr>
          <w:rFonts w:hint="eastAsia" w:asciiTheme="minorEastAsia" w:hAnsiTheme="minorEastAsia" w:cstheme="minorEastAsia"/>
          <w:bCs/>
          <w:color w:val="0070C0"/>
          <w:sz w:val="22"/>
          <w:szCs w:val="22"/>
          <w:lang w:val="en-US" w:eastAsia="zh-CN"/>
        </w:rPr>
        <w:t xml:space="preserve">3.链接: https://pan.baidu.com/s/1N5BnAr3eNl28rXhbWTeluQ?pwd=34ud 提取码: 34ud </w:t>
      </w:r>
    </w:p>
    <w:p w14:paraId="314AC54A">
      <w:pPr>
        <w:pStyle w:val="9"/>
        <w:widowControl/>
        <w:numPr>
          <w:ilvl w:val="0"/>
          <w:numId w:val="0"/>
        </w:numPr>
        <w:spacing w:beforeAutospacing="0" w:afterAutospacing="0"/>
        <w:ind w:left="660" w:leftChars="0" w:firstLine="660" w:firstLineChars="300"/>
        <w:jc w:val="both"/>
        <w:textAlignment w:val="center"/>
        <w:rPr>
          <w:rFonts w:hint="default" w:asciiTheme="minorEastAsia" w:hAnsiTheme="minorEastAsia" w:cstheme="minorEastAsia"/>
          <w:bCs/>
          <w:color w:val="0070C0"/>
          <w:sz w:val="22"/>
          <w:szCs w:val="22"/>
          <w:lang w:val="en-US" w:eastAsia="zh-CN"/>
        </w:rPr>
      </w:pPr>
      <w:r>
        <w:rPr>
          <w:rFonts w:hint="eastAsia" w:asciiTheme="minorEastAsia" w:hAnsiTheme="minorEastAsia" w:cstheme="minorEastAsia"/>
          <w:bCs/>
          <w:color w:val="0070C0"/>
          <w:sz w:val="22"/>
          <w:szCs w:val="22"/>
          <w:lang w:val="en-US" w:eastAsia="zh-CN"/>
        </w:rPr>
        <w:t xml:space="preserve">4.链接: https://pan.baidu.com/s/1xnX6QIGKcCrKYyIxNi8qUQ?pwd=v83i 提取码: v83i </w:t>
      </w:r>
    </w:p>
    <w:p w14:paraId="072AB664">
      <w:pPr>
        <w:ind w:firstLine="1320" w:firstLineChars="600"/>
        <w:rPr>
          <w:rFonts w:hint="default" w:asciiTheme="minorEastAsia" w:hAnsiTheme="minorEastAsia" w:eastAsiaTheme="minorEastAsia" w:cstheme="minorEastAsia"/>
          <w:bCs/>
          <w:color w:val="0070C0"/>
          <w:kern w:val="0"/>
          <w:sz w:val="22"/>
          <w:szCs w:val="22"/>
          <w:lang w:val="en-US" w:eastAsia="zh-CN" w:bidi="ar-SA"/>
        </w:rPr>
      </w:pPr>
      <w:r>
        <w:rPr>
          <w:rFonts w:hint="eastAsia" w:asciiTheme="minorEastAsia" w:hAnsiTheme="minorEastAsia" w:cstheme="minorEastAsia"/>
          <w:bCs/>
          <w:color w:val="0070C0"/>
          <w:kern w:val="0"/>
          <w:sz w:val="22"/>
          <w:szCs w:val="22"/>
          <w:lang w:val="en-US" w:eastAsia="zh-CN" w:bidi="ar-SA"/>
        </w:rPr>
        <w:t xml:space="preserve"> </w:t>
      </w: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I0ZmM4ZmVhZDViOTIwODJhYjM1OGZmMWE4YTU2YjgifQ=="/>
  </w:docVars>
  <w:rsids>
    <w:rsidRoot w:val="5DDE249E"/>
    <w:rsid w:val="00001AAA"/>
    <w:rsid w:val="00010169"/>
    <w:rsid w:val="0002044C"/>
    <w:rsid w:val="00067F90"/>
    <w:rsid w:val="00097461"/>
    <w:rsid w:val="00172667"/>
    <w:rsid w:val="001930DF"/>
    <w:rsid w:val="002039F3"/>
    <w:rsid w:val="002876CB"/>
    <w:rsid w:val="00294959"/>
    <w:rsid w:val="002F5CB2"/>
    <w:rsid w:val="003A2B0F"/>
    <w:rsid w:val="00465C51"/>
    <w:rsid w:val="00474325"/>
    <w:rsid w:val="0049659C"/>
    <w:rsid w:val="004C6EF5"/>
    <w:rsid w:val="004E4166"/>
    <w:rsid w:val="005965AD"/>
    <w:rsid w:val="005C444F"/>
    <w:rsid w:val="00633DD2"/>
    <w:rsid w:val="0068217B"/>
    <w:rsid w:val="00781038"/>
    <w:rsid w:val="007D18F2"/>
    <w:rsid w:val="008C6DB9"/>
    <w:rsid w:val="00960DD0"/>
    <w:rsid w:val="009F3B02"/>
    <w:rsid w:val="00A02E94"/>
    <w:rsid w:val="00A31203"/>
    <w:rsid w:val="00A83AFF"/>
    <w:rsid w:val="00AF3B83"/>
    <w:rsid w:val="00B20B4C"/>
    <w:rsid w:val="00B3015E"/>
    <w:rsid w:val="00B561ED"/>
    <w:rsid w:val="00BA1A18"/>
    <w:rsid w:val="00BB786E"/>
    <w:rsid w:val="00C617BB"/>
    <w:rsid w:val="00CF2A4A"/>
    <w:rsid w:val="00E46946"/>
    <w:rsid w:val="00ED1135"/>
    <w:rsid w:val="00F8437D"/>
    <w:rsid w:val="011C438F"/>
    <w:rsid w:val="013B0DE8"/>
    <w:rsid w:val="013C246A"/>
    <w:rsid w:val="013C29EB"/>
    <w:rsid w:val="01400398"/>
    <w:rsid w:val="01650D7E"/>
    <w:rsid w:val="0167398B"/>
    <w:rsid w:val="0348159A"/>
    <w:rsid w:val="03946E84"/>
    <w:rsid w:val="03BF4FA0"/>
    <w:rsid w:val="03C03826"/>
    <w:rsid w:val="0422475E"/>
    <w:rsid w:val="04F93523"/>
    <w:rsid w:val="04FD5198"/>
    <w:rsid w:val="05004C30"/>
    <w:rsid w:val="054B35C3"/>
    <w:rsid w:val="056A0E7A"/>
    <w:rsid w:val="05D6551A"/>
    <w:rsid w:val="05F55766"/>
    <w:rsid w:val="063075FE"/>
    <w:rsid w:val="06D53145"/>
    <w:rsid w:val="06F87CCA"/>
    <w:rsid w:val="07282EED"/>
    <w:rsid w:val="073B10E6"/>
    <w:rsid w:val="0760644F"/>
    <w:rsid w:val="07A70F85"/>
    <w:rsid w:val="07B5707F"/>
    <w:rsid w:val="08540822"/>
    <w:rsid w:val="08803584"/>
    <w:rsid w:val="08BA12DC"/>
    <w:rsid w:val="09383E5F"/>
    <w:rsid w:val="099E3A59"/>
    <w:rsid w:val="09C668D5"/>
    <w:rsid w:val="09C763A8"/>
    <w:rsid w:val="09F11AE5"/>
    <w:rsid w:val="09F204B1"/>
    <w:rsid w:val="0A41782C"/>
    <w:rsid w:val="0A457CAC"/>
    <w:rsid w:val="0B521C5E"/>
    <w:rsid w:val="0BA27184"/>
    <w:rsid w:val="0C0C32AC"/>
    <w:rsid w:val="0C3B1C9C"/>
    <w:rsid w:val="0CB7272C"/>
    <w:rsid w:val="0CEE50B8"/>
    <w:rsid w:val="0D1A5D55"/>
    <w:rsid w:val="0D2A2F4B"/>
    <w:rsid w:val="0D3D1A44"/>
    <w:rsid w:val="0DFE11D3"/>
    <w:rsid w:val="0E252C04"/>
    <w:rsid w:val="0E9658AF"/>
    <w:rsid w:val="0F074A84"/>
    <w:rsid w:val="0F672DA8"/>
    <w:rsid w:val="0FA7589A"/>
    <w:rsid w:val="0FBD30D4"/>
    <w:rsid w:val="0FCA0CD5"/>
    <w:rsid w:val="10225171"/>
    <w:rsid w:val="104159F2"/>
    <w:rsid w:val="104D6D7D"/>
    <w:rsid w:val="10FB4A1C"/>
    <w:rsid w:val="110A5903"/>
    <w:rsid w:val="11430A07"/>
    <w:rsid w:val="114C29A7"/>
    <w:rsid w:val="11536121"/>
    <w:rsid w:val="119F4564"/>
    <w:rsid w:val="11BA20A5"/>
    <w:rsid w:val="11C3317F"/>
    <w:rsid w:val="11EA5F80"/>
    <w:rsid w:val="133D2AAF"/>
    <w:rsid w:val="13CC3B21"/>
    <w:rsid w:val="13CD0DA9"/>
    <w:rsid w:val="141D25CF"/>
    <w:rsid w:val="14223741"/>
    <w:rsid w:val="145C06AD"/>
    <w:rsid w:val="15565D98"/>
    <w:rsid w:val="156C736A"/>
    <w:rsid w:val="15805356"/>
    <w:rsid w:val="158546DD"/>
    <w:rsid w:val="163B72E9"/>
    <w:rsid w:val="166D339A"/>
    <w:rsid w:val="169C77DB"/>
    <w:rsid w:val="16D27316"/>
    <w:rsid w:val="16F60890"/>
    <w:rsid w:val="16F80DEC"/>
    <w:rsid w:val="16FA09A5"/>
    <w:rsid w:val="179E0C3F"/>
    <w:rsid w:val="17C76AD9"/>
    <w:rsid w:val="182F5F95"/>
    <w:rsid w:val="18387AD3"/>
    <w:rsid w:val="19F87392"/>
    <w:rsid w:val="1A11228E"/>
    <w:rsid w:val="1A361CF4"/>
    <w:rsid w:val="1B7C5E2D"/>
    <w:rsid w:val="1B9749EE"/>
    <w:rsid w:val="1BF135C3"/>
    <w:rsid w:val="1BFD0D1C"/>
    <w:rsid w:val="1C8A763E"/>
    <w:rsid w:val="1C907DE2"/>
    <w:rsid w:val="1CA12C73"/>
    <w:rsid w:val="1CC61A56"/>
    <w:rsid w:val="1D233EDB"/>
    <w:rsid w:val="1D5F49F4"/>
    <w:rsid w:val="1D8D60CF"/>
    <w:rsid w:val="1E0752A7"/>
    <w:rsid w:val="1E3D18A3"/>
    <w:rsid w:val="1E831280"/>
    <w:rsid w:val="1E8F5EB5"/>
    <w:rsid w:val="1EC112E0"/>
    <w:rsid w:val="1F0125E0"/>
    <w:rsid w:val="1F0B7E36"/>
    <w:rsid w:val="1F366EC1"/>
    <w:rsid w:val="1F6410B2"/>
    <w:rsid w:val="1FE10954"/>
    <w:rsid w:val="1FEA7809"/>
    <w:rsid w:val="209D6AF3"/>
    <w:rsid w:val="2107368F"/>
    <w:rsid w:val="2144159D"/>
    <w:rsid w:val="2145625A"/>
    <w:rsid w:val="214641E8"/>
    <w:rsid w:val="21B55BF5"/>
    <w:rsid w:val="21D30974"/>
    <w:rsid w:val="21DA2B86"/>
    <w:rsid w:val="221776F7"/>
    <w:rsid w:val="225012C3"/>
    <w:rsid w:val="228F0D8E"/>
    <w:rsid w:val="22CF638D"/>
    <w:rsid w:val="22E12376"/>
    <w:rsid w:val="231C1D58"/>
    <w:rsid w:val="232E2103"/>
    <w:rsid w:val="234355F0"/>
    <w:rsid w:val="23971AF4"/>
    <w:rsid w:val="23B5012E"/>
    <w:rsid w:val="23C465C3"/>
    <w:rsid w:val="23DD1433"/>
    <w:rsid w:val="242D6CC7"/>
    <w:rsid w:val="243C27D2"/>
    <w:rsid w:val="244905A6"/>
    <w:rsid w:val="24675041"/>
    <w:rsid w:val="24823D64"/>
    <w:rsid w:val="24A35BA4"/>
    <w:rsid w:val="24BD72BE"/>
    <w:rsid w:val="24BF2D66"/>
    <w:rsid w:val="24C26FA6"/>
    <w:rsid w:val="24F133E8"/>
    <w:rsid w:val="253B719F"/>
    <w:rsid w:val="256D56A2"/>
    <w:rsid w:val="25BC7304"/>
    <w:rsid w:val="25E116AE"/>
    <w:rsid w:val="26017B86"/>
    <w:rsid w:val="266F2816"/>
    <w:rsid w:val="26E1123A"/>
    <w:rsid w:val="26FE774E"/>
    <w:rsid w:val="270B5C24"/>
    <w:rsid w:val="2767173F"/>
    <w:rsid w:val="27C757A4"/>
    <w:rsid w:val="28940356"/>
    <w:rsid w:val="28B05368"/>
    <w:rsid w:val="29AC3A2C"/>
    <w:rsid w:val="29B411ED"/>
    <w:rsid w:val="29BD5F8E"/>
    <w:rsid w:val="2A034309"/>
    <w:rsid w:val="2A3D4071"/>
    <w:rsid w:val="2A436DC4"/>
    <w:rsid w:val="2A804D0C"/>
    <w:rsid w:val="2AE00186"/>
    <w:rsid w:val="2B342CDB"/>
    <w:rsid w:val="2B9E2AC4"/>
    <w:rsid w:val="2BAA571F"/>
    <w:rsid w:val="2C2B5431"/>
    <w:rsid w:val="2CCD089B"/>
    <w:rsid w:val="2CCF1D6B"/>
    <w:rsid w:val="2D03015C"/>
    <w:rsid w:val="2D6549C4"/>
    <w:rsid w:val="2DCF526D"/>
    <w:rsid w:val="2DF80823"/>
    <w:rsid w:val="2E6D2E8C"/>
    <w:rsid w:val="2EC21951"/>
    <w:rsid w:val="2F7E4ECF"/>
    <w:rsid w:val="2FA13D2A"/>
    <w:rsid w:val="3006458B"/>
    <w:rsid w:val="305B3E0B"/>
    <w:rsid w:val="309264FA"/>
    <w:rsid w:val="30B73737"/>
    <w:rsid w:val="30D505B2"/>
    <w:rsid w:val="30EB518F"/>
    <w:rsid w:val="30FF7CB8"/>
    <w:rsid w:val="311D40CC"/>
    <w:rsid w:val="312310EF"/>
    <w:rsid w:val="318241CE"/>
    <w:rsid w:val="32146967"/>
    <w:rsid w:val="331C1F78"/>
    <w:rsid w:val="33353724"/>
    <w:rsid w:val="336C7617"/>
    <w:rsid w:val="33E9231C"/>
    <w:rsid w:val="34232E92"/>
    <w:rsid w:val="34296AAE"/>
    <w:rsid w:val="3471398E"/>
    <w:rsid w:val="34DE5F74"/>
    <w:rsid w:val="34E46AC5"/>
    <w:rsid w:val="35602737"/>
    <w:rsid w:val="359707F9"/>
    <w:rsid w:val="35D24B6F"/>
    <w:rsid w:val="35F04FF6"/>
    <w:rsid w:val="35F83C8F"/>
    <w:rsid w:val="360D7D5B"/>
    <w:rsid w:val="36307E7A"/>
    <w:rsid w:val="36435A6D"/>
    <w:rsid w:val="364B44CC"/>
    <w:rsid w:val="3679323D"/>
    <w:rsid w:val="36EF52AD"/>
    <w:rsid w:val="36F27F4A"/>
    <w:rsid w:val="374F5F5B"/>
    <w:rsid w:val="379540A7"/>
    <w:rsid w:val="379C4305"/>
    <w:rsid w:val="37C91FA2"/>
    <w:rsid w:val="37D71E40"/>
    <w:rsid w:val="37E172EC"/>
    <w:rsid w:val="384D513A"/>
    <w:rsid w:val="38740187"/>
    <w:rsid w:val="389C181C"/>
    <w:rsid w:val="3A3E27D3"/>
    <w:rsid w:val="3A72126C"/>
    <w:rsid w:val="3A8B463B"/>
    <w:rsid w:val="3AAF722D"/>
    <w:rsid w:val="3ADE691E"/>
    <w:rsid w:val="3AF15A98"/>
    <w:rsid w:val="3BD317A4"/>
    <w:rsid w:val="3BFF3FAA"/>
    <w:rsid w:val="3C3E4D0D"/>
    <w:rsid w:val="3C6B5733"/>
    <w:rsid w:val="3D052109"/>
    <w:rsid w:val="3D12441E"/>
    <w:rsid w:val="3D793B23"/>
    <w:rsid w:val="3DDB64EC"/>
    <w:rsid w:val="3E54179A"/>
    <w:rsid w:val="3E703DE0"/>
    <w:rsid w:val="3E9C3E16"/>
    <w:rsid w:val="3EE17BD1"/>
    <w:rsid w:val="3F176F97"/>
    <w:rsid w:val="3F382064"/>
    <w:rsid w:val="3F6528E0"/>
    <w:rsid w:val="3F7647BE"/>
    <w:rsid w:val="3F86730D"/>
    <w:rsid w:val="3FAE3777"/>
    <w:rsid w:val="3FCD3208"/>
    <w:rsid w:val="407927B7"/>
    <w:rsid w:val="40D42D32"/>
    <w:rsid w:val="40E83499"/>
    <w:rsid w:val="417201F1"/>
    <w:rsid w:val="41790F7B"/>
    <w:rsid w:val="41E73A1D"/>
    <w:rsid w:val="41F51012"/>
    <w:rsid w:val="42576806"/>
    <w:rsid w:val="42F06C93"/>
    <w:rsid w:val="4304272C"/>
    <w:rsid w:val="430F7403"/>
    <w:rsid w:val="43B5127E"/>
    <w:rsid w:val="44021393"/>
    <w:rsid w:val="441F7EFA"/>
    <w:rsid w:val="44541797"/>
    <w:rsid w:val="4464269A"/>
    <w:rsid w:val="45161052"/>
    <w:rsid w:val="459050D4"/>
    <w:rsid w:val="45921AB2"/>
    <w:rsid w:val="45BF75D2"/>
    <w:rsid w:val="4609638B"/>
    <w:rsid w:val="467A327A"/>
    <w:rsid w:val="468B192B"/>
    <w:rsid w:val="47215957"/>
    <w:rsid w:val="4729094A"/>
    <w:rsid w:val="47332F94"/>
    <w:rsid w:val="473C432E"/>
    <w:rsid w:val="476E221E"/>
    <w:rsid w:val="47F646ED"/>
    <w:rsid w:val="481823AC"/>
    <w:rsid w:val="485A1019"/>
    <w:rsid w:val="49654934"/>
    <w:rsid w:val="498E384A"/>
    <w:rsid w:val="4A02063E"/>
    <w:rsid w:val="4A7758B4"/>
    <w:rsid w:val="4ACA0308"/>
    <w:rsid w:val="4B434576"/>
    <w:rsid w:val="4D252B18"/>
    <w:rsid w:val="4D36558C"/>
    <w:rsid w:val="4E0E1CF0"/>
    <w:rsid w:val="4EBA5340"/>
    <w:rsid w:val="4F053468"/>
    <w:rsid w:val="4F54767F"/>
    <w:rsid w:val="4FAF0DFC"/>
    <w:rsid w:val="50114A60"/>
    <w:rsid w:val="508E17CE"/>
    <w:rsid w:val="508E6D22"/>
    <w:rsid w:val="50EE3B5D"/>
    <w:rsid w:val="51555272"/>
    <w:rsid w:val="51D113DA"/>
    <w:rsid w:val="51E95914"/>
    <w:rsid w:val="51F950B9"/>
    <w:rsid w:val="51FD48CA"/>
    <w:rsid w:val="526D37FE"/>
    <w:rsid w:val="53360AAB"/>
    <w:rsid w:val="539250E9"/>
    <w:rsid w:val="539441D3"/>
    <w:rsid w:val="53D37FD9"/>
    <w:rsid w:val="53D8114B"/>
    <w:rsid w:val="54260108"/>
    <w:rsid w:val="54860013"/>
    <w:rsid w:val="54866B8D"/>
    <w:rsid w:val="54D9161F"/>
    <w:rsid w:val="54D97871"/>
    <w:rsid w:val="54F226E1"/>
    <w:rsid w:val="557362A4"/>
    <w:rsid w:val="561C5C67"/>
    <w:rsid w:val="568D0ABD"/>
    <w:rsid w:val="56D00374"/>
    <w:rsid w:val="56F15900"/>
    <w:rsid w:val="57240572"/>
    <w:rsid w:val="5890177B"/>
    <w:rsid w:val="58913FBE"/>
    <w:rsid w:val="58B100EB"/>
    <w:rsid w:val="58CA6309"/>
    <w:rsid w:val="59667843"/>
    <w:rsid w:val="596C27D6"/>
    <w:rsid w:val="597948E4"/>
    <w:rsid w:val="599C3E2D"/>
    <w:rsid w:val="59DA7466"/>
    <w:rsid w:val="59DC65D0"/>
    <w:rsid w:val="5A3955DB"/>
    <w:rsid w:val="5A3F5C67"/>
    <w:rsid w:val="5A783688"/>
    <w:rsid w:val="5A8522F0"/>
    <w:rsid w:val="5BB4099E"/>
    <w:rsid w:val="5C1F4DDE"/>
    <w:rsid w:val="5CE943C9"/>
    <w:rsid w:val="5DDC7A8A"/>
    <w:rsid w:val="5DDE249E"/>
    <w:rsid w:val="5DE11544"/>
    <w:rsid w:val="5DF66D9E"/>
    <w:rsid w:val="5E0C0F4D"/>
    <w:rsid w:val="5E847AA4"/>
    <w:rsid w:val="5EA70098"/>
    <w:rsid w:val="5F0674B4"/>
    <w:rsid w:val="5F0A3796"/>
    <w:rsid w:val="5F311DB2"/>
    <w:rsid w:val="5F5B078F"/>
    <w:rsid w:val="5FA760E3"/>
    <w:rsid w:val="5FD82805"/>
    <w:rsid w:val="601D2883"/>
    <w:rsid w:val="60261490"/>
    <w:rsid w:val="60421ED4"/>
    <w:rsid w:val="604D4C6F"/>
    <w:rsid w:val="607B50AE"/>
    <w:rsid w:val="60EA23B7"/>
    <w:rsid w:val="61AA42A2"/>
    <w:rsid w:val="625E3163"/>
    <w:rsid w:val="628C3851"/>
    <w:rsid w:val="628F4940"/>
    <w:rsid w:val="63106792"/>
    <w:rsid w:val="63E14F2C"/>
    <w:rsid w:val="63EA230E"/>
    <w:rsid w:val="64303292"/>
    <w:rsid w:val="64537CA6"/>
    <w:rsid w:val="64961287"/>
    <w:rsid w:val="64C25C2B"/>
    <w:rsid w:val="64D1000C"/>
    <w:rsid w:val="64DE058B"/>
    <w:rsid w:val="653D1766"/>
    <w:rsid w:val="65D32D9F"/>
    <w:rsid w:val="66111524"/>
    <w:rsid w:val="663E2767"/>
    <w:rsid w:val="66587477"/>
    <w:rsid w:val="66712277"/>
    <w:rsid w:val="66CB67B9"/>
    <w:rsid w:val="6744792C"/>
    <w:rsid w:val="67613D33"/>
    <w:rsid w:val="67A20356"/>
    <w:rsid w:val="67AC2BC3"/>
    <w:rsid w:val="67B34D52"/>
    <w:rsid w:val="67CE2B39"/>
    <w:rsid w:val="6809591F"/>
    <w:rsid w:val="68963296"/>
    <w:rsid w:val="69076E24"/>
    <w:rsid w:val="69A06289"/>
    <w:rsid w:val="6A8B4D12"/>
    <w:rsid w:val="6AB445AA"/>
    <w:rsid w:val="6ABC4E7E"/>
    <w:rsid w:val="6ACA2716"/>
    <w:rsid w:val="6B125D09"/>
    <w:rsid w:val="6B2D0055"/>
    <w:rsid w:val="6B5A17AD"/>
    <w:rsid w:val="6B7204FC"/>
    <w:rsid w:val="6B804D5C"/>
    <w:rsid w:val="6B95551C"/>
    <w:rsid w:val="6C2F0285"/>
    <w:rsid w:val="6C465394"/>
    <w:rsid w:val="6C646A33"/>
    <w:rsid w:val="6CA355A5"/>
    <w:rsid w:val="6E0C516C"/>
    <w:rsid w:val="6E0E674A"/>
    <w:rsid w:val="6E5C01FD"/>
    <w:rsid w:val="6E8378F2"/>
    <w:rsid w:val="6EC5370C"/>
    <w:rsid w:val="6F2953D6"/>
    <w:rsid w:val="6F321C00"/>
    <w:rsid w:val="6F4048C9"/>
    <w:rsid w:val="70027824"/>
    <w:rsid w:val="702A0B29"/>
    <w:rsid w:val="708B7819"/>
    <w:rsid w:val="70D23371"/>
    <w:rsid w:val="70E171DF"/>
    <w:rsid w:val="70EC64AE"/>
    <w:rsid w:val="712B6800"/>
    <w:rsid w:val="71C77254"/>
    <w:rsid w:val="71FA18C1"/>
    <w:rsid w:val="727237E9"/>
    <w:rsid w:val="72B312A9"/>
    <w:rsid w:val="72F34A7F"/>
    <w:rsid w:val="734E4B2E"/>
    <w:rsid w:val="7393362B"/>
    <w:rsid w:val="73C3551C"/>
    <w:rsid w:val="73D634A1"/>
    <w:rsid w:val="743F3A0F"/>
    <w:rsid w:val="745845A5"/>
    <w:rsid w:val="745D14CD"/>
    <w:rsid w:val="750D5C76"/>
    <w:rsid w:val="752B5127"/>
    <w:rsid w:val="753D021A"/>
    <w:rsid w:val="758B206A"/>
    <w:rsid w:val="75D166E3"/>
    <w:rsid w:val="76FC1475"/>
    <w:rsid w:val="774F10FC"/>
    <w:rsid w:val="778C05C8"/>
    <w:rsid w:val="77C81326"/>
    <w:rsid w:val="77D00D38"/>
    <w:rsid w:val="77F04406"/>
    <w:rsid w:val="781146AA"/>
    <w:rsid w:val="781834B5"/>
    <w:rsid w:val="78FE4B12"/>
    <w:rsid w:val="790F4D60"/>
    <w:rsid w:val="793D04C3"/>
    <w:rsid w:val="79B0209F"/>
    <w:rsid w:val="79F71A7C"/>
    <w:rsid w:val="7A560FD9"/>
    <w:rsid w:val="7AC676A0"/>
    <w:rsid w:val="7BB7690C"/>
    <w:rsid w:val="7C1C1C3D"/>
    <w:rsid w:val="7C835849"/>
    <w:rsid w:val="7CC320E9"/>
    <w:rsid w:val="7D242CF1"/>
    <w:rsid w:val="7D6A7876"/>
    <w:rsid w:val="7D8172FD"/>
    <w:rsid w:val="7D9B29BA"/>
    <w:rsid w:val="7D9D3675"/>
    <w:rsid w:val="7DAE0CF7"/>
    <w:rsid w:val="7DE92023"/>
    <w:rsid w:val="7E386B07"/>
    <w:rsid w:val="7E875943"/>
    <w:rsid w:val="7ED56104"/>
    <w:rsid w:val="7FB504D5"/>
    <w:rsid w:val="7FC502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autoRedefine/>
    <w:qFormat/>
    <w:uiPriority w:val="0"/>
    <w:pPr>
      <w:keepNext/>
      <w:jc w:val="center"/>
      <w:outlineLvl w:val="0"/>
    </w:pPr>
    <w:rPr>
      <w:rFonts w:ascii="宋体"/>
      <w:sz w:val="24"/>
    </w:rPr>
  </w:style>
  <w:style w:type="character" w:default="1" w:styleId="13">
    <w:name w:val="Default Paragraph Font"/>
    <w:autoRedefine/>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styleId="4">
    <w:name w:val="Body Text"/>
    <w:basedOn w:val="1"/>
    <w:qFormat/>
    <w:uiPriority w:val="0"/>
    <w:pPr>
      <w:spacing w:after="120"/>
    </w:pPr>
    <w:rPr>
      <w:szCs w:val="20"/>
    </w:rPr>
  </w:style>
  <w:style w:type="paragraph" w:styleId="5">
    <w:name w:val="Body Text Indent"/>
    <w:basedOn w:val="1"/>
    <w:qFormat/>
    <w:uiPriority w:val="0"/>
    <w:pPr>
      <w:ind w:firstLine="560" w:firstLineChars="200"/>
    </w:pPr>
    <w:rPr>
      <w:rFonts w:ascii="华文楷体" w:hAnsi="华文楷体" w:eastAsia="华文楷体"/>
      <w:sz w:val="28"/>
    </w:rPr>
  </w:style>
  <w:style w:type="paragraph" w:styleId="6">
    <w:name w:val="Block Text"/>
    <w:basedOn w:val="1"/>
    <w:qFormat/>
    <w:uiPriority w:val="0"/>
    <w:pPr>
      <w:snapToGrid w:val="0"/>
      <w:spacing w:line="408" w:lineRule="auto"/>
      <w:ind w:left="-113" w:right="-510" w:firstLine="510"/>
    </w:pPr>
    <w:rPr>
      <w:sz w:val="24"/>
      <w:szCs w:val="20"/>
    </w:rPr>
  </w:style>
  <w:style w:type="paragraph" w:styleId="7">
    <w:name w:val="footer"/>
    <w:basedOn w:val="1"/>
    <w:qFormat/>
    <w:uiPriority w:val="0"/>
    <w:pPr>
      <w:tabs>
        <w:tab w:val="center" w:pos="4153"/>
        <w:tab w:val="right" w:pos="8306"/>
      </w:tabs>
      <w:snapToGrid w:val="0"/>
      <w:jc w:val="left"/>
    </w:pPr>
    <w:rPr>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Autospacing="1" w:afterAutospacing="1"/>
      <w:jc w:val="left"/>
    </w:pPr>
    <w:rPr>
      <w:rFonts w:cs="Times New Roman"/>
      <w:kern w:val="0"/>
      <w:sz w:val="24"/>
    </w:rPr>
  </w:style>
  <w:style w:type="paragraph" w:styleId="10">
    <w:name w:val="Body Text First Indent"/>
    <w:basedOn w:val="4"/>
    <w:autoRedefine/>
    <w:qFormat/>
    <w:uiPriority w:val="0"/>
    <w:pPr>
      <w:ind w:firstLine="420" w:firstLineChars="100"/>
    </w:pPr>
    <w:rPr>
      <w:szCs w:val="24"/>
    </w:rPr>
  </w:style>
  <w:style w:type="paragraph" w:styleId="11">
    <w:name w:val="Body Text First Indent 2"/>
    <w:basedOn w:val="1"/>
    <w:autoRedefine/>
    <w:qFormat/>
    <w:uiPriority w:val="0"/>
    <w:pPr>
      <w:spacing w:after="120"/>
      <w:ind w:left="420" w:leftChars="200" w:firstLine="420"/>
    </w:pPr>
  </w:style>
  <w:style w:type="character" w:styleId="14">
    <w:name w:val="Strong"/>
    <w:basedOn w:val="13"/>
    <w:autoRedefine/>
    <w:qFormat/>
    <w:uiPriority w:val="0"/>
    <w:rPr>
      <w:b/>
    </w:rPr>
  </w:style>
  <w:style w:type="character" w:styleId="15">
    <w:name w:val="page number"/>
    <w:basedOn w:val="13"/>
    <w:autoRedefine/>
    <w:qFormat/>
    <w:uiPriority w:val="0"/>
  </w:style>
  <w:style w:type="character" w:styleId="16">
    <w:name w:val="FollowedHyperlink"/>
    <w:basedOn w:val="13"/>
    <w:autoRedefine/>
    <w:qFormat/>
    <w:uiPriority w:val="0"/>
    <w:rPr>
      <w:color w:val="000000"/>
      <w:sz w:val="18"/>
      <w:szCs w:val="18"/>
      <w:u w:val="none"/>
    </w:rPr>
  </w:style>
  <w:style w:type="character" w:styleId="17">
    <w:name w:val="Hyperlink"/>
    <w:basedOn w:val="13"/>
    <w:autoRedefine/>
    <w:qFormat/>
    <w:uiPriority w:val="0"/>
    <w:rPr>
      <w:color w:val="000000"/>
      <w:sz w:val="18"/>
      <w:szCs w:val="18"/>
      <w:u w:val="none"/>
    </w:rPr>
  </w:style>
  <w:style w:type="character" w:customStyle="1" w:styleId="18">
    <w:name w:val="font41"/>
    <w:basedOn w:val="13"/>
    <w:autoRedefine/>
    <w:qFormat/>
    <w:uiPriority w:val="0"/>
    <w:rPr>
      <w:rFonts w:hint="eastAsia" w:ascii="宋体" w:hAnsi="宋体" w:eastAsia="宋体" w:cs="宋体"/>
      <w:color w:val="000000"/>
      <w:sz w:val="20"/>
      <w:szCs w:val="20"/>
      <w:u w:val="none"/>
    </w:rPr>
  </w:style>
  <w:style w:type="character" w:customStyle="1" w:styleId="19">
    <w:name w:val="font51"/>
    <w:basedOn w:val="13"/>
    <w:autoRedefine/>
    <w:qFormat/>
    <w:uiPriority w:val="0"/>
    <w:rPr>
      <w:rFonts w:ascii="Calibri" w:hAnsi="Calibri" w:cs="Calibri"/>
      <w:color w:val="000000"/>
      <w:sz w:val="20"/>
      <w:szCs w:val="20"/>
      <w:u w:val="none"/>
    </w:rPr>
  </w:style>
  <w:style w:type="character" w:customStyle="1" w:styleId="20">
    <w:name w:val="font31"/>
    <w:basedOn w:val="13"/>
    <w:autoRedefine/>
    <w:qFormat/>
    <w:uiPriority w:val="0"/>
    <w:rPr>
      <w:rFonts w:ascii="Arial" w:hAnsi="Arial" w:cs="Arial"/>
      <w:color w:val="000000"/>
      <w:sz w:val="20"/>
      <w:szCs w:val="20"/>
      <w:u w:val="none"/>
    </w:rPr>
  </w:style>
  <w:style w:type="character" w:customStyle="1" w:styleId="21">
    <w:name w:val="font21"/>
    <w:basedOn w:val="13"/>
    <w:autoRedefine/>
    <w:qFormat/>
    <w:uiPriority w:val="0"/>
    <w:rPr>
      <w:rFonts w:hint="eastAsia" w:ascii="宋体" w:hAnsi="宋体" w:eastAsia="宋体" w:cs="宋体"/>
      <w:color w:val="0070C0"/>
      <w:sz w:val="24"/>
      <w:szCs w:val="24"/>
      <w:u w:val="none"/>
    </w:rPr>
  </w:style>
  <w:style w:type="character" w:customStyle="1" w:styleId="22">
    <w:name w:val="font11"/>
    <w:basedOn w:val="13"/>
    <w:autoRedefine/>
    <w:qFormat/>
    <w:uiPriority w:val="0"/>
    <w:rPr>
      <w:rFonts w:hint="default" w:ascii="Arial" w:hAnsi="Arial" w:cs="Arial"/>
      <w:color w:val="000000"/>
      <w:sz w:val="24"/>
      <w:szCs w:val="24"/>
      <w:u w:val="none"/>
    </w:rPr>
  </w:style>
  <w:style w:type="character" w:customStyle="1" w:styleId="23">
    <w:name w:val="font01"/>
    <w:basedOn w:val="13"/>
    <w:autoRedefine/>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FD6061-9EE6-48F4-BE3D-7167FC7E4939}">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2</Pages>
  <Words>512</Words>
  <Characters>781</Characters>
  <Lines>4</Lines>
  <Paragraphs>1</Paragraphs>
  <TotalTime>5</TotalTime>
  <ScaleCrop>false</ScaleCrop>
  <LinksUpToDate>false</LinksUpToDate>
  <CharactersWithSpaces>824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2019-04-15T02:02:00Z</dcterms:created>
  <dc:creator>泉水叮咚</dc:creator>
  <cp:lastModifiedBy>ali</cp:lastModifiedBy>
  <dcterms:modified xsi:type="dcterms:W3CDTF">2025-12-02T03:52:24Z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1237C4D5F9444E6A99C017D0BF64C827</vt:lpwstr>
  </property>
  <property fmtid="{D5CDD505-2E9C-101B-9397-08002B2CF9AE}" pid="4" name="KSOTemplateDocerSaveRecord">
    <vt:lpwstr>eyJoZGlkIjoiYWI0ZmM4ZmVhZDViOTIwODJhYjM1OGZmMWE4YTU2YjgiLCJ1c2VySWQiOiIzNDYwOTE4NzkifQ==</vt:lpwstr>
  </property>
</Properties>
</file>