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widowControl w:val="0"/>
        <w:kinsoku/>
        <w:wordWrap/>
        <w:overflowPunct/>
        <w:topLinePunct w:val="0"/>
        <w:autoSpaceDE/>
        <w:autoSpaceDN/>
        <w:bidi w:val="0"/>
        <w:adjustRightInd/>
        <w:snapToGrid/>
        <w:jc w:val="left"/>
        <w:textAlignment w:val="auto"/>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附件3</w:t>
      </w:r>
    </w:p>
    <w:p>
      <w:pPr>
        <w:jc w:val="center"/>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河南绿韵环保技术服务有限公司简介</w:t>
      </w:r>
    </w:p>
    <w:p>
      <w:pPr>
        <w:pStyle w:val="6"/>
        <w:rPr>
          <w:rFonts w:hint="eastAsia" w:ascii="宋体" w:hAnsi="宋体" w:eastAsia="宋体" w:cs="宋体"/>
          <w:lang w:val="en-US" w:eastAsia="zh-CN"/>
        </w:rPr>
      </w:pPr>
    </w:p>
    <w:p>
      <w:pPr>
        <w:outlineLvl w:val="0"/>
        <w:rPr>
          <w:rFonts w:hint="eastAsia" w:ascii="宋体" w:hAnsi="宋体" w:eastAsia="宋体" w:cs="宋体"/>
          <w:b/>
          <w:bCs/>
          <w:sz w:val="28"/>
          <w:szCs w:val="28"/>
          <w:lang w:val="en-US" w:eastAsia="zh-CN"/>
        </w:rPr>
      </w:pPr>
      <w:bookmarkStart w:id="0" w:name="_Toc27010"/>
      <w:r>
        <w:rPr>
          <w:rFonts w:hint="eastAsia" w:ascii="宋体" w:hAnsi="宋体" w:eastAsia="宋体" w:cs="宋体"/>
          <w:b/>
          <w:bCs/>
          <w:sz w:val="28"/>
          <w:szCs w:val="28"/>
          <w:lang w:val="en-US" w:eastAsia="zh-CN"/>
        </w:rPr>
        <w:t>一、公司概况</w:t>
      </w:r>
      <w:bookmarkEnd w:id="0"/>
    </w:p>
    <w:p>
      <w:pPr>
        <w:spacing w:line="360" w:lineRule="auto"/>
        <w:ind w:firstLine="420" w:firstLineChars="0"/>
        <w:rPr>
          <w:rFonts w:hint="eastAsia" w:ascii="宋体" w:hAnsi="宋体" w:eastAsia="宋体" w:cs="宋体"/>
          <w:sz w:val="24"/>
          <w:szCs w:val="32"/>
        </w:rPr>
      </w:pPr>
      <w:r>
        <w:rPr>
          <w:rFonts w:hint="eastAsia" w:ascii="宋体" w:hAnsi="宋体" w:eastAsia="宋体" w:cs="宋体"/>
          <w:sz w:val="24"/>
          <w:szCs w:val="32"/>
        </w:rPr>
        <w:t>河南绿韵环保技术服务有限公司是一家按照现代化企业模式创办的专门从事环境保护技术咨询和技术服务的企业。公司</w:t>
      </w:r>
      <w:r>
        <w:rPr>
          <w:rFonts w:hint="eastAsia" w:ascii="宋体" w:hAnsi="宋体" w:eastAsia="宋体" w:cs="宋体"/>
          <w:sz w:val="24"/>
          <w:szCs w:val="32"/>
          <w:lang w:val="en-US" w:eastAsia="zh-CN"/>
        </w:rPr>
        <w:t>为</w:t>
      </w:r>
      <w:r>
        <w:rPr>
          <w:rFonts w:hint="eastAsia" w:ascii="宋体" w:hAnsi="宋体" w:eastAsia="宋体" w:cs="宋体"/>
          <w:sz w:val="24"/>
          <w:szCs w:val="32"/>
        </w:rPr>
        <w:t>河南省环保联合会常务理事单位、河南省造纸工业协会会员。</w:t>
      </w:r>
    </w:p>
    <w:p>
      <w:pPr>
        <w:spacing w:line="360" w:lineRule="auto"/>
        <w:ind w:firstLine="420" w:firstLineChars="0"/>
        <w:rPr>
          <w:rFonts w:hint="eastAsia" w:ascii="宋体" w:hAnsi="宋体" w:eastAsia="宋体" w:cs="宋体"/>
          <w:sz w:val="24"/>
          <w:szCs w:val="32"/>
        </w:rPr>
      </w:pPr>
      <w:r>
        <w:rPr>
          <w:rFonts w:hint="eastAsia" w:ascii="宋体" w:hAnsi="宋体" w:eastAsia="宋体" w:cs="宋体"/>
          <w:sz w:val="24"/>
          <w:szCs w:val="32"/>
          <w:lang w:val="en-US" w:eastAsia="zh-CN"/>
        </w:rPr>
        <w:t>公司主营环保技术咨询服务，业务辐射范围：</w:t>
      </w:r>
      <w:r>
        <w:rPr>
          <w:rFonts w:hint="eastAsia" w:ascii="宋体" w:hAnsi="宋体" w:eastAsia="宋体" w:cs="宋体"/>
          <w:sz w:val="24"/>
          <w:szCs w:val="32"/>
        </w:rPr>
        <w:t>环境影响评价、竣工环保验收、清洁生产、项目建议书、可行性研究报告、项目整体规划设计、应急预案、项目选址；环保工程设计、废水处理、河道治理、人工湿地、大气治理、土壤修复、固废处理、中水回用；环保项目投资运营管理；环境损害评估鉴定；生态环境规划、生态修复</w:t>
      </w:r>
      <w:r>
        <w:rPr>
          <w:rFonts w:hint="eastAsia" w:ascii="宋体" w:hAnsi="宋体" w:eastAsia="宋体" w:cs="宋体"/>
          <w:sz w:val="24"/>
          <w:szCs w:val="32"/>
          <w:lang w:val="en-US" w:eastAsia="zh-CN"/>
        </w:rPr>
        <w:t>等业务</w:t>
      </w:r>
      <w:r>
        <w:rPr>
          <w:rFonts w:hint="eastAsia" w:ascii="宋体" w:hAnsi="宋体" w:eastAsia="宋体" w:cs="宋体"/>
          <w:sz w:val="24"/>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 w:val="0"/>
          <w:bCs w:val="0"/>
          <w:sz w:val="24"/>
          <w:szCs w:val="32"/>
          <w:highlight w:val="none"/>
          <w:lang w:val="en-US" w:eastAsia="zh-CN"/>
        </w:rPr>
      </w:pPr>
      <w:r>
        <w:rPr>
          <w:rFonts w:hint="eastAsia" w:ascii="宋体" w:hAnsi="宋体" w:eastAsia="宋体" w:cs="宋体"/>
          <w:b w:val="0"/>
          <w:bCs w:val="0"/>
          <w:sz w:val="24"/>
          <w:szCs w:val="32"/>
          <w:highlight w:val="none"/>
          <w:lang w:val="en-US" w:eastAsia="zh-CN"/>
        </w:rPr>
        <w:t>公司下设工程部、咨询部、商务部、综合财务部等部门，并制定了各部门规范完善的管理制度，尤其是环境影响评价和环保工程的质量保证体系制度等，保证公司各项工作有条不紊进行。</w:t>
      </w:r>
      <w:r>
        <w:rPr>
          <w:rFonts w:hint="eastAsia" w:ascii="宋体" w:hAnsi="宋体" w:eastAsia="宋体" w:cs="宋体"/>
          <w:sz w:val="24"/>
          <w:szCs w:val="32"/>
          <w:lang w:val="en-US" w:eastAsia="zh-CN"/>
        </w:rPr>
        <w:t>自成立至今，已累计完成各类环保咨询项目100余项，其中环境影响报告书28项，规划环境影响报告书12项、项目均获得河南省生态环境厅及地方生态环境主管部门的批复，完成项目数量及业务量均排在全省前列，近三年来公司负责人及技术人员先后获得5项实用新型专利证书。</w:t>
      </w:r>
    </w:p>
    <w:p>
      <w:pPr>
        <w:spacing w:line="360" w:lineRule="auto"/>
        <w:ind w:firstLine="420" w:firstLineChars="0"/>
        <w:rPr>
          <w:rFonts w:hint="eastAsia" w:ascii="宋体" w:hAnsi="宋体" w:eastAsia="宋体" w:cs="宋体"/>
          <w:sz w:val="24"/>
          <w:szCs w:val="32"/>
          <w:lang w:val="en-US"/>
        </w:rPr>
      </w:pPr>
      <w:r>
        <w:rPr>
          <w:rFonts w:hint="eastAsia" w:ascii="宋体" w:hAnsi="宋体" w:eastAsia="宋体" w:cs="宋体"/>
          <w:sz w:val="24"/>
          <w:szCs w:val="24"/>
          <w:lang w:val="en-US" w:eastAsia="zh-CN"/>
        </w:rPr>
        <w:t>公司拥有一批高水平专业技术与管理人才，现有主要技术人员22人，其中高级职称3人，副高级职称5人，中级及研究生8人</w:t>
      </w:r>
      <w:r>
        <w:rPr>
          <w:rFonts w:hint="eastAsia" w:ascii="宋体" w:hAnsi="宋体" w:eastAsia="宋体" w:cs="宋体"/>
          <w:szCs w:val="22"/>
        </w:rPr>
        <w:t>，</w:t>
      </w:r>
      <w:r>
        <w:rPr>
          <w:rFonts w:hint="eastAsia" w:ascii="宋体" w:hAnsi="宋体" w:eastAsia="宋体" w:cs="宋体"/>
          <w:sz w:val="24"/>
          <w:szCs w:val="24"/>
          <w:lang w:val="en-US" w:eastAsia="zh-CN"/>
        </w:rPr>
        <w:t>注册环境影响评价工程师3人，注册环保工程师1人。且公司与南京大学常熟生态研究院、北京中环格亿技术咨询有限公司、河南财经政法大学绿色发展研究中心等单位紧密合作，形成战略合作伙伴，公司致力成为省内领先具有鲜明特色生态环保领域的综合服务商。</w:t>
      </w:r>
    </w:p>
    <w:p>
      <w:pP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二、联系方式</w:t>
      </w:r>
    </w:p>
    <w:tbl>
      <w:tblPr>
        <w:tblStyle w:val="4"/>
        <w:tblW w:w="0" w:type="auto"/>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30"/>
        <w:gridCol w:w="3465"/>
        <w:gridCol w:w="1167"/>
        <w:gridCol w:w="2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130" w:type="dxa"/>
            <w:noWrap w:val="0"/>
            <w:vAlign w:val="center"/>
          </w:tcPr>
          <w:p>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val="en-US" w:eastAsia="zh-CN"/>
              </w:rPr>
              <w:t>法定代表人</w:t>
            </w:r>
          </w:p>
        </w:tc>
        <w:tc>
          <w:tcPr>
            <w:tcW w:w="3465" w:type="dxa"/>
            <w:noWrap w:val="0"/>
            <w:vAlign w:val="center"/>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卢建波</w:t>
            </w:r>
          </w:p>
        </w:tc>
        <w:tc>
          <w:tcPr>
            <w:tcW w:w="1167" w:type="dxa"/>
            <w:noWrap w:val="0"/>
            <w:vAlign w:val="center"/>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电话</w:t>
            </w:r>
          </w:p>
        </w:tc>
        <w:tc>
          <w:tcPr>
            <w:tcW w:w="2255" w:type="dxa"/>
            <w:noWrap w:val="0"/>
            <w:vAlign w:val="top"/>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15038076655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2130" w:type="dxa"/>
            <w:noWrap w:val="0"/>
            <w:vAlign w:val="center"/>
          </w:tcPr>
          <w:p>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联系人</w:t>
            </w:r>
          </w:p>
        </w:tc>
        <w:tc>
          <w:tcPr>
            <w:tcW w:w="3465" w:type="dxa"/>
            <w:noWrap w:val="0"/>
            <w:vAlign w:val="center"/>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刘国强</w:t>
            </w:r>
          </w:p>
        </w:tc>
        <w:tc>
          <w:tcPr>
            <w:tcW w:w="1167" w:type="dxa"/>
            <w:noWrap w:val="0"/>
            <w:vAlign w:val="center"/>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电话</w:t>
            </w:r>
          </w:p>
        </w:tc>
        <w:tc>
          <w:tcPr>
            <w:tcW w:w="2255" w:type="dxa"/>
            <w:noWrap w:val="0"/>
            <w:vAlign w:val="top"/>
          </w:tcPr>
          <w:p>
            <w:pPr>
              <w:pStyle w:val="6"/>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13373928671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2130" w:type="dxa"/>
            <w:noWrap w:val="0"/>
            <w:vAlign w:val="center"/>
          </w:tcPr>
          <w:p>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邮箱</w:t>
            </w:r>
          </w:p>
        </w:tc>
        <w:tc>
          <w:tcPr>
            <w:tcW w:w="3465" w:type="dxa"/>
            <w:noWrap w:val="0"/>
            <w:vAlign w:val="center"/>
          </w:tcPr>
          <w:p>
            <w:pPr>
              <w:pStyle w:val="6"/>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461842101@qq.com</w:t>
            </w:r>
          </w:p>
        </w:tc>
        <w:tc>
          <w:tcPr>
            <w:tcW w:w="1167" w:type="dxa"/>
            <w:noWrap w:val="0"/>
            <w:vAlign w:val="center"/>
          </w:tcPr>
          <w:p>
            <w:pPr>
              <w:pStyle w:val="6"/>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eastAsia="zh-CN"/>
              </w:rPr>
              <w:t>邮编</w:t>
            </w:r>
          </w:p>
        </w:tc>
        <w:tc>
          <w:tcPr>
            <w:tcW w:w="2255" w:type="dxa"/>
            <w:noWrap w:val="0"/>
            <w:vAlign w:val="center"/>
          </w:tcPr>
          <w:p>
            <w:pPr>
              <w:pStyle w:val="6"/>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130" w:type="dxa"/>
            <w:noWrap w:val="0"/>
            <w:vAlign w:val="center"/>
          </w:tcPr>
          <w:p>
            <w:pPr>
              <w:pStyle w:val="6"/>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通讯地址</w:t>
            </w:r>
          </w:p>
        </w:tc>
        <w:tc>
          <w:tcPr>
            <w:tcW w:w="6887" w:type="dxa"/>
            <w:gridSpan w:val="3"/>
            <w:noWrap w:val="0"/>
            <w:vAlign w:val="center"/>
          </w:tcPr>
          <w:p>
            <w:pPr>
              <w:pStyle w:val="6"/>
              <w:jc w:val="left"/>
              <w:rPr>
                <w:rFonts w:hint="eastAsia" w:ascii="宋体" w:hAnsi="宋体" w:eastAsia="宋体" w:cs="宋体"/>
                <w:sz w:val="24"/>
                <w:szCs w:val="24"/>
                <w:vertAlign w:val="baseline"/>
                <w:lang w:val="en-US" w:eastAsia="zh-CN"/>
              </w:rPr>
            </w:pPr>
            <w:r>
              <w:rPr>
                <w:rFonts w:hint="eastAsia" w:ascii="宋体" w:hAnsi="宋体" w:eastAsia="宋体" w:cs="宋体"/>
                <w:i w:val="0"/>
                <w:iCs w:val="0"/>
                <w:color w:val="000000"/>
                <w:kern w:val="0"/>
                <w:sz w:val="24"/>
                <w:szCs w:val="24"/>
                <w:u w:val="none"/>
                <w:lang w:val="en-US" w:eastAsia="zh-CN" w:bidi="ar"/>
              </w:rPr>
              <w:t>河南自贸试验区郑州片区（郑东）东风南路东金水东路北绿地新都会8号楼10层1012</w:t>
            </w:r>
          </w:p>
        </w:tc>
      </w:tr>
    </w:tbl>
    <w:p>
      <w:pPr>
        <w:keepNext w:val="0"/>
        <w:keepLines w:val="0"/>
        <w:pageBreakBefore/>
        <w:widowControl w:val="0"/>
        <w:kinsoku/>
        <w:wordWrap/>
        <w:overflowPunct/>
        <w:topLinePunct w:val="0"/>
        <w:autoSpaceDE/>
        <w:autoSpaceDN/>
        <w:bidi w:val="0"/>
        <w:adjustRightInd/>
        <w:snapToGrid/>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三、环评编制人员</w:t>
      </w:r>
    </w:p>
    <w:tbl>
      <w:tblPr>
        <w:tblStyle w:val="3"/>
        <w:tblpPr w:leftFromText="180" w:rightFromText="180" w:vertAnchor="text" w:horzAnchor="page" w:tblpX="1319" w:tblpY="211"/>
        <w:tblOverlap w:val="never"/>
        <w:tblW w:w="908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057"/>
        <w:gridCol w:w="1428"/>
        <w:gridCol w:w="3005"/>
        <w:gridCol w:w="1799"/>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序号</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姓名</w:t>
            </w:r>
          </w:p>
        </w:tc>
        <w:tc>
          <w:tcPr>
            <w:tcW w:w="3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职业资格证书号</w:t>
            </w:r>
          </w:p>
        </w:tc>
        <w:tc>
          <w:tcPr>
            <w:tcW w:w="1799"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信用编号</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1</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"http://114.251.10.92:8080/XYPT/staff/view?id=109874420301964827"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章显</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05354143505410393</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BH003027</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2</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"http://114.251.10.92:8080/XYPT/staff/view?id=109874248503275605"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符苗苗</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2016035410352015411801000125</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BH003030</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3</w:t>
            </w:r>
          </w:p>
        </w:tc>
        <w:tc>
          <w:tcPr>
            <w:tcW w:w="1428"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"http://114.251.10.92:8080/XYPT/staff/view?id=308231471913513057"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陈旭歌</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2013035410352013411801000268</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BH027835</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4</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"http://114.251.10.92:8080/XYPT/staff/view?id=965771465779588098"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刘悦</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BH044918</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5</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"http://114.251.10.92:8080/XYPT/staff/view?id=867967982343563273"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李凯利</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BH042813</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6</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"http://114.251.10.92:8080/XYPT/staff/view?id=664624422161756864"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李明奎</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BH037405</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7</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"http://114.251.10.92:8080/XYPT/staff/view?id=208960088914802577"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曹兴华</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BH025384</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8</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"http://114.251.10.92:8080/XYPT/staff/view?id=131950105526809312"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王可可</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BH015451</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9</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"http://114.251.10.92:8080/XYPT/staff/view?id=109873887726021124"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路金金</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BH003038</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03" w:hRule="atLeast"/>
        </w:trPr>
        <w:tc>
          <w:tcPr>
            <w:tcW w:w="105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10</w:t>
            </w:r>
          </w:p>
        </w:tc>
        <w:tc>
          <w:tcPr>
            <w:tcW w:w="1428"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fldChar w:fldCharType="begin"/>
            </w:r>
            <w:r>
              <w:rPr>
                <w:rFonts w:hint="eastAsia" w:ascii="宋体" w:hAnsi="宋体" w:eastAsia="宋体" w:cs="宋体"/>
                <w:b w:val="0"/>
                <w:bCs/>
                <w:i w:val="0"/>
                <w:color w:val="000000"/>
                <w:kern w:val="0"/>
                <w:sz w:val="24"/>
                <w:szCs w:val="24"/>
                <w:u w:val="none"/>
                <w:lang w:val="en-US" w:eastAsia="zh-CN" w:bidi="ar"/>
              </w:rPr>
              <w:instrText xml:space="preserve"> HYPERLINK "http://114.251.10.92:8080/XYPT/staff/view?id=109873887726020886" </w:instrText>
            </w:r>
            <w:r>
              <w:rPr>
                <w:rFonts w:hint="eastAsia" w:ascii="宋体" w:hAnsi="宋体" w:eastAsia="宋体" w:cs="宋体"/>
                <w:b w:val="0"/>
                <w:bCs/>
                <w:i w:val="0"/>
                <w:color w:val="000000"/>
                <w:kern w:val="0"/>
                <w:sz w:val="24"/>
                <w:szCs w:val="24"/>
                <w:u w:val="none"/>
                <w:lang w:val="en-US" w:eastAsia="zh-CN" w:bidi="ar"/>
              </w:rPr>
              <w:fldChar w:fldCharType="separate"/>
            </w:r>
            <w:r>
              <w:rPr>
                <w:rFonts w:hint="eastAsia" w:ascii="宋体" w:hAnsi="宋体" w:eastAsia="宋体" w:cs="宋体"/>
                <w:b w:val="0"/>
                <w:bCs/>
                <w:i w:val="0"/>
                <w:color w:val="000000"/>
                <w:kern w:val="0"/>
                <w:sz w:val="24"/>
                <w:szCs w:val="24"/>
                <w:u w:val="none"/>
                <w:lang w:val="en-US" w:eastAsia="zh-CN" w:bidi="ar"/>
              </w:rPr>
              <w:t>刘国强</w:t>
            </w:r>
            <w:r>
              <w:rPr>
                <w:rFonts w:hint="eastAsia" w:ascii="宋体" w:hAnsi="宋体" w:eastAsia="宋体" w:cs="宋体"/>
                <w:b w:val="0"/>
                <w:bCs/>
                <w:i w:val="0"/>
                <w:color w:val="000000"/>
                <w:kern w:val="0"/>
                <w:sz w:val="24"/>
                <w:szCs w:val="24"/>
                <w:u w:val="none"/>
                <w:lang w:val="en-US" w:eastAsia="zh-CN" w:bidi="ar"/>
              </w:rPr>
              <w:fldChar w:fldCharType="end"/>
            </w:r>
          </w:p>
        </w:tc>
        <w:tc>
          <w:tcPr>
            <w:tcW w:w="3005"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w:t>
            </w:r>
          </w:p>
        </w:tc>
        <w:tc>
          <w:tcPr>
            <w:tcW w:w="1799" w:type="dxa"/>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pacing w:line="480" w:lineRule="auto"/>
              <w:jc w:val="center"/>
              <w:textAlignment w:val="center"/>
              <w:rPr>
                <w:rFonts w:hint="eastAsia" w:ascii="宋体" w:hAnsi="宋体" w:eastAsia="宋体" w:cs="宋体"/>
                <w:b w:val="0"/>
                <w:bCs/>
                <w:i w:val="0"/>
                <w:color w:val="000000"/>
                <w:kern w:val="0"/>
                <w:sz w:val="24"/>
                <w:szCs w:val="24"/>
                <w:u w:val="none"/>
                <w:lang w:val="en-US" w:eastAsia="zh-CN" w:bidi="ar"/>
              </w:rPr>
            </w:pPr>
            <w:r>
              <w:rPr>
                <w:rFonts w:hint="eastAsia" w:ascii="宋体" w:hAnsi="宋体" w:eastAsia="宋体" w:cs="宋体"/>
                <w:b w:val="0"/>
                <w:bCs/>
                <w:i w:val="0"/>
                <w:color w:val="000000"/>
                <w:kern w:val="0"/>
                <w:sz w:val="24"/>
                <w:szCs w:val="24"/>
                <w:u w:val="none"/>
                <w:lang w:val="en-US" w:eastAsia="zh-CN" w:bidi="ar"/>
              </w:rPr>
              <w:t>BH003018</w:t>
            </w:r>
          </w:p>
        </w:tc>
        <w:tc>
          <w:tcPr>
            <w:tcW w:w="180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b w:val="0"/>
                <w:bCs/>
                <w:i w:val="0"/>
                <w:color w:val="000000"/>
                <w:kern w:val="0"/>
                <w:sz w:val="24"/>
                <w:szCs w:val="24"/>
                <w:u w:val="none"/>
                <w:lang w:val="en-US" w:eastAsia="zh-CN" w:bidi="ar"/>
              </w:rPr>
            </w:pPr>
          </w:p>
        </w:tc>
      </w:tr>
    </w:tbl>
    <w:p>
      <w:pPr>
        <w:keepNext w:val="0"/>
        <w:keepLines w:val="0"/>
        <w:pageBreakBefore/>
        <w:widowControl w:val="0"/>
        <w:kinsoku/>
        <w:wordWrap/>
        <w:overflowPunct/>
        <w:topLinePunct w:val="0"/>
        <w:autoSpaceDE/>
        <w:autoSpaceDN/>
        <w:bidi w:val="0"/>
        <w:adjustRightInd/>
        <w:snapToGrid/>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四、代表性业绩</w:t>
      </w:r>
    </w:p>
    <w:tbl>
      <w:tblPr>
        <w:tblStyle w:val="4"/>
        <w:tblW w:w="10110" w:type="dxa"/>
        <w:tblInd w:w="-1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5070"/>
        <w:gridCol w:w="2385"/>
        <w:gridCol w:w="1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750" w:type="dxa"/>
            <w:noWrap w:val="0"/>
            <w:vAlign w:val="center"/>
          </w:tcPr>
          <w:p>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序号</w:t>
            </w:r>
          </w:p>
        </w:tc>
        <w:tc>
          <w:tcPr>
            <w:tcW w:w="5070" w:type="dxa"/>
            <w:noWrap w:val="0"/>
            <w:vAlign w:val="center"/>
          </w:tcPr>
          <w:p>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项目名称</w:t>
            </w:r>
          </w:p>
        </w:tc>
        <w:tc>
          <w:tcPr>
            <w:tcW w:w="2385" w:type="dxa"/>
            <w:noWrap w:val="0"/>
            <w:vAlign w:val="center"/>
          </w:tcPr>
          <w:p>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eastAsia="zh-CN"/>
              </w:rPr>
              <w:t>审批文号</w:t>
            </w:r>
          </w:p>
        </w:tc>
        <w:tc>
          <w:tcPr>
            <w:tcW w:w="1905" w:type="dxa"/>
            <w:noWrap w:val="0"/>
            <w:vAlign w:val="center"/>
          </w:tcPr>
          <w:p>
            <w:pPr>
              <w:pStyle w:val="6"/>
              <w:numPr>
                <w:ilvl w:val="0"/>
                <w:numId w:val="0"/>
              </w:numPr>
              <w:jc w:val="center"/>
              <w:rPr>
                <w:rFonts w:hint="eastAsia" w:ascii="宋体" w:hAnsi="宋体" w:eastAsia="宋体" w:cs="宋体"/>
                <w:b w:val="0"/>
                <w:bCs w:val="0"/>
                <w:sz w:val="24"/>
                <w:szCs w:val="24"/>
                <w:vertAlign w:val="baseline"/>
                <w:lang w:eastAsia="zh-CN"/>
              </w:rPr>
            </w:pPr>
            <w:r>
              <w:rPr>
                <w:rFonts w:hint="eastAsia" w:ascii="宋体" w:hAnsi="宋体" w:eastAsia="宋体" w:cs="宋体"/>
                <w:b w:val="0"/>
                <w:bCs w:val="0"/>
                <w:sz w:val="24"/>
                <w:szCs w:val="24"/>
                <w:vertAlign w:val="baseline"/>
                <w:lang w:val="en-US" w:eastAsia="zh-CN"/>
              </w:rPr>
              <w:t>审批</w:t>
            </w:r>
            <w:r>
              <w:rPr>
                <w:rFonts w:hint="eastAsia" w:ascii="宋体" w:hAnsi="宋体" w:eastAsia="宋体" w:cs="宋体"/>
                <w:b w:val="0"/>
                <w:bCs w:val="0"/>
                <w:sz w:val="24"/>
                <w:szCs w:val="24"/>
                <w:vertAlign w:val="baseline"/>
                <w:lang w:eastAsia="zh-CN"/>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noWrap w:val="0"/>
            <w:vAlign w:val="center"/>
          </w:tcPr>
          <w:p>
            <w:pPr>
              <w:pStyle w:val="6"/>
              <w:numPr>
                <w:ilvl w:val="0"/>
                <w:numId w:val="0"/>
              </w:num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5070"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河南神马印染有限公司0.5万吨/年化纤印染项目</w:t>
            </w:r>
          </w:p>
        </w:tc>
        <w:tc>
          <w:tcPr>
            <w:tcW w:w="2385"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河南省生态环境厅豫环文【2022】30号</w:t>
            </w:r>
          </w:p>
        </w:tc>
        <w:tc>
          <w:tcPr>
            <w:tcW w:w="1905" w:type="dxa"/>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2022年5月19日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noWrap w:val="0"/>
            <w:vAlign w:val="center"/>
          </w:tcPr>
          <w:p>
            <w:pPr>
              <w:pStyle w:val="6"/>
              <w:numPr>
                <w:ilvl w:val="0"/>
                <w:numId w:val="0"/>
              </w:num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5070" w:type="dxa"/>
            <w:noWrap w:val="0"/>
            <w:vAlign w:val="center"/>
          </w:tcPr>
          <w:p>
            <w:pPr>
              <w:keepNext w:val="0"/>
              <w:keepLines w:val="0"/>
              <w:widowControl/>
              <w:suppressLineNumbers w:val="0"/>
              <w:jc w:val="center"/>
              <w:textAlignment w:val="center"/>
              <w:rPr>
                <w:rFonts w:hint="eastAsia" w:ascii="宋体" w:hAnsi="宋体" w:eastAsia="宋体" w:cs="宋体"/>
                <w:b w:val="0"/>
                <w:bCs w:val="0"/>
                <w:color w:val="auto"/>
                <w:kern w:val="2"/>
                <w:sz w:val="22"/>
                <w:szCs w:val="28"/>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灵宝市产业集聚区总体发展规划（</w:t>
            </w:r>
            <w:r>
              <w:rPr>
                <w:rStyle w:val="8"/>
                <w:rFonts w:hint="eastAsia" w:ascii="宋体" w:hAnsi="宋体" w:eastAsia="宋体" w:cs="宋体"/>
                <w:lang w:val="en-US" w:eastAsia="zh-CN" w:bidi="ar"/>
              </w:rPr>
              <w:t>2021-2030</w:t>
            </w:r>
            <w:r>
              <w:rPr>
                <w:rStyle w:val="9"/>
                <w:rFonts w:hint="eastAsia" w:ascii="宋体" w:hAnsi="宋体" w:eastAsia="宋体" w:cs="宋体"/>
                <w:lang w:val="en-US" w:eastAsia="zh-CN" w:bidi="ar"/>
              </w:rPr>
              <w:t>）环境影响报告书</w:t>
            </w:r>
          </w:p>
        </w:tc>
        <w:tc>
          <w:tcPr>
            <w:tcW w:w="2385" w:type="dxa"/>
            <w:noWrap w:val="0"/>
            <w:vAlign w:val="center"/>
          </w:tcPr>
          <w:p>
            <w:pPr>
              <w:keepNext w:val="0"/>
              <w:keepLines w:val="0"/>
              <w:widowControl/>
              <w:suppressLineNumbers w:val="0"/>
              <w:jc w:val="center"/>
              <w:textAlignment w:val="center"/>
              <w:rPr>
                <w:rFonts w:hint="eastAsia" w:ascii="宋体" w:hAnsi="宋体" w:eastAsia="宋体" w:cs="宋体"/>
                <w:b w:val="0"/>
                <w:bCs w:val="0"/>
                <w:color w:val="auto"/>
                <w:kern w:val="2"/>
                <w:sz w:val="22"/>
                <w:szCs w:val="28"/>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豫环函【2021】177号</w:t>
            </w:r>
          </w:p>
        </w:tc>
        <w:tc>
          <w:tcPr>
            <w:tcW w:w="1905" w:type="dxa"/>
            <w:noWrap w:val="0"/>
            <w:vAlign w:val="center"/>
          </w:tcPr>
          <w:p>
            <w:pPr>
              <w:keepNext w:val="0"/>
              <w:keepLines w:val="0"/>
              <w:widowControl/>
              <w:suppressLineNumbers w:val="0"/>
              <w:jc w:val="center"/>
              <w:textAlignment w:val="center"/>
              <w:rPr>
                <w:rFonts w:hint="eastAsia" w:ascii="宋体" w:hAnsi="宋体" w:eastAsia="宋体" w:cs="宋体"/>
                <w:b w:val="0"/>
                <w:bCs w:val="0"/>
                <w:color w:val="auto"/>
                <w:kern w:val="2"/>
                <w:sz w:val="22"/>
                <w:szCs w:val="28"/>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2021年11月24日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noWrap w:val="0"/>
            <w:vAlign w:val="center"/>
          </w:tcPr>
          <w:p>
            <w:pPr>
              <w:pStyle w:val="6"/>
              <w:numPr>
                <w:ilvl w:val="0"/>
                <w:numId w:val="0"/>
              </w:num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5070"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焦作隆丰皮草企业有限公司固体废物综合处置与资源化利用项目</w:t>
            </w:r>
          </w:p>
        </w:tc>
        <w:tc>
          <w:tcPr>
            <w:tcW w:w="2385"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焦作市生态环境局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焦环审孟【2021】21号</w:t>
            </w:r>
          </w:p>
        </w:tc>
        <w:tc>
          <w:tcPr>
            <w:tcW w:w="1905" w:type="dxa"/>
            <w:noWrap w:val="0"/>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2021年9月13日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新乡新亚纸业集团股份有限公司</w:t>
            </w:r>
            <w:r>
              <w:rPr>
                <w:rStyle w:val="8"/>
                <w:rFonts w:hint="eastAsia" w:ascii="宋体" w:hAnsi="宋体" w:eastAsia="宋体" w:cs="宋体"/>
                <w:lang w:val="en-US" w:eastAsia="zh-CN" w:bidi="ar"/>
              </w:rPr>
              <w:t>1</w:t>
            </w:r>
            <w:r>
              <w:rPr>
                <w:rStyle w:val="9"/>
                <w:rFonts w:hint="eastAsia" w:ascii="宋体" w:hAnsi="宋体" w:eastAsia="宋体" w:cs="宋体"/>
                <w:lang w:val="en-US" w:eastAsia="zh-CN" w:bidi="ar"/>
              </w:rPr>
              <w:t>×（</w:t>
            </w:r>
            <w:r>
              <w:rPr>
                <w:rStyle w:val="8"/>
                <w:rFonts w:hint="eastAsia" w:ascii="宋体" w:hAnsi="宋体" w:eastAsia="宋体" w:cs="宋体"/>
                <w:lang w:val="en-US" w:eastAsia="zh-CN" w:bidi="ar"/>
              </w:rPr>
              <w:t>130t+30MW</w:t>
            </w:r>
            <w:r>
              <w:rPr>
                <w:rStyle w:val="9"/>
                <w:rFonts w:hint="eastAsia" w:ascii="宋体" w:hAnsi="宋体" w:eastAsia="宋体" w:cs="宋体"/>
                <w:lang w:val="en-US" w:eastAsia="zh-CN" w:bidi="ar"/>
              </w:rPr>
              <w:t>）固废综合利用热电联产项目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新乡市生态环境局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新环书审【2021】17号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2021年9月2日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河南宝丰电镀中心产业园项目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豫环审【2021】6号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2021年3月24日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三门峡玉祥矿产品有限公司年破碎加工</w:t>
            </w:r>
            <w:r>
              <w:rPr>
                <w:rStyle w:val="8"/>
                <w:rFonts w:hint="eastAsia" w:ascii="宋体" w:hAnsi="宋体" w:eastAsia="宋体" w:cs="宋体"/>
                <w:lang w:val="en-US" w:eastAsia="zh-CN" w:bidi="ar"/>
              </w:rPr>
              <w:t>100</w:t>
            </w:r>
            <w:r>
              <w:rPr>
                <w:rStyle w:val="9"/>
                <w:rFonts w:hint="eastAsia" w:ascii="宋体" w:hAnsi="宋体" w:eastAsia="宋体" w:cs="宋体"/>
                <w:lang w:val="en-US" w:eastAsia="zh-CN" w:bidi="ar"/>
              </w:rPr>
              <w:t>万吨铝矿石及仓储项目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三门峡市生态环境局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三环审【2021】17号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2021年2月25日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灵宝市涉重金属行业发展规划（</w:t>
            </w:r>
            <w:r>
              <w:rPr>
                <w:rStyle w:val="8"/>
                <w:rFonts w:hint="eastAsia" w:ascii="宋体" w:hAnsi="宋体" w:eastAsia="宋体" w:cs="宋体"/>
                <w:lang w:val="en-US" w:eastAsia="zh-CN" w:bidi="ar"/>
              </w:rPr>
              <w:t>2019-2030</w:t>
            </w:r>
            <w:r>
              <w:rPr>
                <w:rStyle w:val="9"/>
                <w:rFonts w:hint="eastAsia" w:ascii="宋体" w:hAnsi="宋体" w:eastAsia="宋体" w:cs="宋体"/>
                <w:lang w:val="en-US" w:eastAsia="zh-CN" w:bidi="ar"/>
              </w:rPr>
              <w:t>）环境影响报告</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三门峡生态环境局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灵宝分局三环灵局审【2020】5号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2020年12月15日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河南金利金铅集团有限公司铅基多金属协同强化冶炼产业化示范及锌资源综合利用项目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豫环审【2020】31号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2020年9月15日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新乡县古固寨镇产业聚集区总体规划（</w:t>
            </w:r>
            <w:r>
              <w:rPr>
                <w:rStyle w:val="8"/>
                <w:rFonts w:hint="eastAsia" w:ascii="宋体" w:hAnsi="宋体" w:eastAsia="宋体" w:cs="宋体"/>
                <w:lang w:val="en-US" w:eastAsia="zh-CN" w:bidi="ar"/>
              </w:rPr>
              <w:t>2019-2035</w:t>
            </w:r>
            <w:r>
              <w:rPr>
                <w:rStyle w:val="9"/>
                <w:rFonts w:hint="eastAsia" w:ascii="宋体" w:hAnsi="宋体" w:eastAsia="宋体" w:cs="宋体"/>
                <w:lang w:val="en-US" w:eastAsia="zh-CN" w:bidi="ar"/>
              </w:rPr>
              <w:t>）环境影响报告</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新乡市生态环境局</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新环审查【2020】2号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2020年8月25日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河南神火煤电股份有限公司炭素厂</w:t>
            </w:r>
            <w:r>
              <w:rPr>
                <w:rStyle w:val="8"/>
                <w:rFonts w:hint="eastAsia" w:ascii="宋体" w:hAnsi="宋体" w:eastAsia="宋体" w:cs="宋体"/>
                <w:lang w:val="en-US" w:eastAsia="zh-CN" w:bidi="ar"/>
              </w:rPr>
              <w:t>12.4</w:t>
            </w:r>
            <w:r>
              <w:rPr>
                <w:rStyle w:val="9"/>
                <w:rFonts w:hint="eastAsia" w:ascii="宋体" w:hAnsi="宋体" w:eastAsia="宋体" w:cs="宋体"/>
                <w:lang w:val="en-US" w:eastAsia="zh-CN" w:bidi="ar"/>
              </w:rPr>
              <w:t>万吨生产线技术改造项目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豫环审【2020】23号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2020年6月29日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11</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河南金利金铅集团有限公司电解铅生产线原材料结构调整改造项目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豫环审【2020】13号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2020年5月18日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750" w:type="dxa"/>
          </w:tcPr>
          <w:p>
            <w:pPr>
              <w:pStyle w:val="6"/>
              <w:numPr>
                <w:ilvl w:val="0"/>
                <w:numId w:val="0"/>
              </w:numPr>
              <w:spacing w:line="480" w:lineRule="auto"/>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w:t>
            </w:r>
          </w:p>
        </w:tc>
        <w:tc>
          <w:tcPr>
            <w:tcW w:w="5070"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河南绿闽环保科技有限公司危险废物综合处置中心项目</w:t>
            </w:r>
          </w:p>
        </w:tc>
        <w:tc>
          <w:tcPr>
            <w:tcW w:w="238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河南省生态环境厅</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豫环审【2020】1号</w:t>
            </w:r>
          </w:p>
        </w:tc>
        <w:tc>
          <w:tcPr>
            <w:tcW w:w="1905" w:type="dxa"/>
            <w:vAlign w:val="center"/>
          </w:tcPr>
          <w:p>
            <w:pPr>
              <w:keepNext w:val="0"/>
              <w:keepLines w:val="0"/>
              <w:widowControl/>
              <w:suppressLineNumbers w:val="0"/>
              <w:jc w:val="center"/>
              <w:textAlignment w:val="center"/>
              <w:rPr>
                <w:rFonts w:hint="eastAsia" w:ascii="宋体" w:hAnsi="宋体" w:eastAsia="宋体" w:cs="宋体"/>
                <w:color w:val="auto"/>
                <w:kern w:val="2"/>
                <w:sz w:val="21"/>
                <w:szCs w:val="24"/>
                <w:vertAlign w:val="baseline"/>
                <w:lang w:val="en-US" w:eastAsia="zh-CN" w:bidi="ar-SA"/>
              </w:rPr>
            </w:pPr>
            <w:r>
              <w:rPr>
                <w:rFonts w:hint="eastAsia" w:ascii="宋体" w:hAnsi="宋体" w:eastAsia="宋体" w:cs="宋体"/>
                <w:i w:val="0"/>
                <w:iCs w:val="0"/>
                <w:color w:val="000000"/>
                <w:kern w:val="0"/>
                <w:sz w:val="21"/>
                <w:szCs w:val="21"/>
                <w:u w:val="none"/>
                <w:lang w:val="en-US" w:eastAsia="zh-CN" w:bidi="ar"/>
              </w:rPr>
              <w:t>2020年1月9日</w:t>
            </w:r>
          </w:p>
        </w:tc>
      </w:tr>
    </w:tbl>
    <w:p>
      <w:pPr>
        <w:rPr>
          <w:rFonts w:hint="eastAsia" w:ascii="宋体" w:hAnsi="宋体" w:eastAsia="宋体" w:cs="宋体"/>
          <w:sz w:val="28"/>
          <w:szCs w:val="28"/>
          <w:lang w:val="en-US" w:eastAsia="zh-CN"/>
        </w:rPr>
      </w:pPr>
    </w:p>
    <w:p>
      <w:bookmarkStart w:id="1" w:name="_GoBack"/>
      <w:bookmarkEnd w:id="1"/>
    </w:p>
    <w:sectPr>
      <w:footerReference r:id="rId3" w:type="default"/>
      <w:pgSz w:w="11906" w:h="16838"/>
      <w:pgMar w:top="1247" w:right="1247" w:bottom="1247" w:left="124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ZiNDQwZjU0OTdmMmJjYWE1MmZlYjExNWU2YjIyMTUifQ=="/>
  </w:docVars>
  <w:rsids>
    <w:rsidRoot w:val="356A71DF"/>
    <w:rsid w:val="356A7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Default"/>
    <w:next w:val="7"/>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customStyle="1" w:styleId="7">
    <w:name w:val="reader-word-layer reader-word-s8-24"/>
    <w:basedOn w:val="1"/>
    <w:next w:val="1"/>
    <w:qFormat/>
    <w:uiPriority w:val="0"/>
    <w:pPr>
      <w:widowControl/>
      <w:autoSpaceDE/>
      <w:autoSpaceDN/>
      <w:spacing w:before="280" w:after="280" w:line="240" w:lineRule="auto"/>
      <w:ind w:left="0" w:firstLine="0"/>
    </w:pPr>
    <w:rPr>
      <w:rFonts w:ascii="宋体" w:eastAsia="宋体"/>
      <w:sz w:val="24"/>
    </w:rPr>
  </w:style>
  <w:style w:type="character" w:customStyle="1" w:styleId="8">
    <w:name w:val="font11"/>
    <w:basedOn w:val="5"/>
    <w:qFormat/>
    <w:uiPriority w:val="0"/>
    <w:rPr>
      <w:rFonts w:hint="default" w:ascii="Calibri" w:hAnsi="Calibri" w:cs="Calibri"/>
      <w:color w:val="000000"/>
      <w:sz w:val="21"/>
      <w:szCs w:val="21"/>
      <w:u w:val="none"/>
    </w:rPr>
  </w:style>
  <w:style w:type="character" w:customStyle="1" w:styleId="9">
    <w:name w:val="font21"/>
    <w:basedOn w:val="5"/>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2022-08-26T08:06:00Z</dcterms:created>
  <dc:creator>彼岸花香依舊</dc:creator>
  <cp:lastModifiedBy>彼岸花香依舊</cp:lastModifiedBy>
  <dcterms:modified xsi:type="dcterms:W3CDTF">2022-08-26T08:07:27Z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0C7E43A5656140C1B7E46C59E4133E2C</vt:lpwstr>
  </property>
</Properties>
</file>