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4F14C">
      <w:pPr>
        <w:snapToGrid/>
        <w:spacing w:before="0" w:beforeAutospacing="0" w:after="0" w:afterAutospacing="0" w:line="240" w:lineRule="auto"/>
        <w:jc w:val="both"/>
        <w:textAlignment w:val="baseline"/>
        <w:rPr>
          <w:rFonts w:hint="eastAsia" w:ascii="仿宋" w:hAnsi="仿宋" w:eastAsia="仿宋" w:cs="仿宋"/>
          <w:b w:val="0"/>
          <w:i w:val="0"/>
          <w:caps w:val="0"/>
          <w:color w:val="FF0000"/>
          <w:spacing w:val="0"/>
          <w:w w:val="100"/>
          <w:sz w:val="36"/>
          <w:szCs w:val="36"/>
        </w:rPr>
      </w:pPr>
    </w:p>
    <w:p w14:paraId="7A841EF8">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2CF78676">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076F94">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rPr>
      </w:pPr>
    </w:p>
    <w:p w14:paraId="479932EE">
      <w:pPr>
        <w:snapToGrid/>
        <w:spacing w:before="0" w:beforeAutospacing="0" w:after="0" w:afterAutospacing="0" w:line="240" w:lineRule="auto"/>
        <w:ind w:firstLine="2520" w:firstLineChars="700"/>
        <w:jc w:val="both"/>
        <w:textAlignment w:val="baseline"/>
        <w:rPr>
          <w:rFonts w:hint="eastAsia" w:ascii="仿宋" w:hAnsi="仿宋" w:eastAsia="仿宋" w:cs="仿宋"/>
          <w:b w:val="0"/>
          <w:i w:val="0"/>
          <w:caps w:val="0"/>
          <w:color w:val="FF0000"/>
          <w:spacing w:val="0"/>
          <w:w w:val="100"/>
          <w:sz w:val="36"/>
          <w:szCs w:val="36"/>
          <w:highlight w:val="yellow"/>
        </w:rPr>
      </w:pPr>
    </w:p>
    <w:p w14:paraId="04EA66EA">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2520" w:firstLineChars="700"/>
        <w:jc w:val="both"/>
        <w:textAlignment w:val="baseline"/>
        <w:rPr>
          <w:rFonts w:hint="eastAsia" w:ascii="仿宋" w:hAnsi="仿宋" w:eastAsia="仿宋" w:cs="仿宋"/>
          <w:color w:val="000000" w:themeColor="text1"/>
          <w:sz w:val="36"/>
          <w:szCs w:val="36"/>
          <w:lang w:bidi="ar"/>
          <w14:textFill>
            <w14:solidFill>
              <w14:schemeClr w14:val="tx1"/>
            </w14:solidFill>
          </w14:textFill>
        </w:rPr>
      </w:pPr>
      <w:r>
        <w:rPr>
          <w:rFonts w:hint="eastAsia" w:ascii="仿宋" w:hAnsi="仿宋" w:eastAsia="仿宋" w:cs="仿宋"/>
          <w:color w:val="000000" w:themeColor="text1"/>
          <w:sz w:val="36"/>
          <w:szCs w:val="36"/>
          <w:lang w:bidi="ar"/>
          <w14:textFill>
            <w14:solidFill>
              <w14:schemeClr w14:val="tx1"/>
            </w14:solidFill>
          </w14:textFill>
        </w:rPr>
        <w:t>西环审[202</w:t>
      </w:r>
      <w:r>
        <w:rPr>
          <w:rFonts w:hint="eastAsia" w:ascii="仿宋" w:hAnsi="仿宋" w:eastAsia="仿宋" w:cs="仿宋"/>
          <w:color w:val="000000" w:themeColor="text1"/>
          <w:sz w:val="36"/>
          <w:szCs w:val="36"/>
          <w:lang w:val="en-US" w:eastAsia="zh-CN" w:bidi="ar"/>
          <w14:textFill>
            <w14:solidFill>
              <w14:schemeClr w14:val="tx1"/>
            </w14:solidFill>
          </w14:textFill>
        </w:rPr>
        <w:t>5</w:t>
      </w:r>
      <w:r>
        <w:rPr>
          <w:rFonts w:hint="eastAsia" w:ascii="仿宋" w:hAnsi="仿宋" w:eastAsia="仿宋" w:cs="仿宋"/>
          <w:color w:val="000000" w:themeColor="text1"/>
          <w:sz w:val="36"/>
          <w:szCs w:val="36"/>
          <w:lang w:bidi="ar"/>
          <w14:textFill>
            <w14:solidFill>
              <w14:schemeClr w14:val="tx1"/>
            </w14:solidFill>
          </w14:textFill>
        </w:rPr>
        <w:t>]</w:t>
      </w:r>
      <w:r>
        <w:rPr>
          <w:rFonts w:hint="eastAsia" w:ascii="仿宋" w:hAnsi="仿宋" w:eastAsia="仿宋" w:cs="仿宋"/>
          <w:color w:val="000000" w:themeColor="text1"/>
          <w:sz w:val="36"/>
          <w:szCs w:val="36"/>
          <w:lang w:val="en-US" w:eastAsia="zh-CN" w:bidi="ar"/>
          <w14:textFill>
            <w14:solidFill>
              <w14:schemeClr w14:val="tx1"/>
            </w14:solidFill>
          </w14:textFill>
        </w:rPr>
        <w:t>5</w:t>
      </w:r>
      <w:r>
        <w:rPr>
          <w:rFonts w:hint="eastAsia" w:ascii="仿宋" w:hAnsi="仿宋" w:eastAsia="仿宋" w:cs="仿宋"/>
          <w:color w:val="000000" w:themeColor="text1"/>
          <w:sz w:val="36"/>
          <w:szCs w:val="36"/>
          <w:lang w:bidi="ar"/>
          <w14:textFill>
            <w14:solidFill>
              <w14:schemeClr w14:val="tx1"/>
            </w14:solidFill>
          </w14:textFill>
        </w:rPr>
        <w:t>号</w:t>
      </w:r>
    </w:p>
    <w:p w14:paraId="5971E5A8">
      <w:pPr>
        <w:snapToGrid/>
        <w:spacing w:before="0" w:beforeAutospacing="0" w:after="0" w:afterAutospacing="0" w:line="240" w:lineRule="auto"/>
        <w:jc w:val="center"/>
        <w:textAlignment w:val="baseline"/>
        <w:rPr>
          <w:rFonts w:hint="eastAsia" w:ascii="仿宋" w:hAnsi="仿宋" w:eastAsia="仿宋" w:cs="仿宋"/>
          <w:b w:val="0"/>
          <w:i w:val="0"/>
          <w:caps w:val="0"/>
          <w:color w:val="FF0000"/>
          <w:spacing w:val="0"/>
          <w:w w:val="100"/>
          <w:sz w:val="32"/>
          <w:szCs w:val="32"/>
        </w:rPr>
      </w:pPr>
    </w:p>
    <w:p w14:paraId="6CA57FB7">
      <w:pPr>
        <w:widowControl/>
        <w:snapToGrid/>
        <w:spacing w:before="0" w:beforeAutospacing="0" w:after="0" w:afterAutospacing="0" w:line="240" w:lineRule="auto"/>
        <w:jc w:val="center"/>
        <w:textAlignment w:val="baseline"/>
        <w:rPr>
          <w:rFonts w:hint="eastAsia" w:ascii="黑体" w:hAnsi="黑体" w:eastAsia="黑体" w:cs="黑体"/>
          <w:b/>
          <w:bCs w:val="0"/>
          <w:i w:val="0"/>
          <w:caps w:val="0"/>
          <w:color w:val="auto"/>
          <w:spacing w:val="0"/>
          <w:w w:val="100"/>
          <w:kern w:val="0"/>
          <w:sz w:val="36"/>
          <w:szCs w:val="36"/>
          <w:lang w:bidi="ar"/>
        </w:rPr>
      </w:pPr>
      <w:r>
        <w:rPr>
          <w:rFonts w:hint="eastAsia" w:ascii="黑体" w:hAnsi="黑体" w:eastAsia="黑体" w:cs="黑体"/>
          <w:b/>
          <w:bCs w:val="0"/>
          <w:i w:val="0"/>
          <w:caps w:val="0"/>
          <w:color w:val="auto"/>
          <w:spacing w:val="0"/>
          <w:w w:val="100"/>
          <w:kern w:val="0"/>
          <w:sz w:val="36"/>
          <w:szCs w:val="36"/>
          <w:lang w:bidi="ar"/>
        </w:rPr>
        <w:t>关于</w:t>
      </w:r>
      <w:r>
        <w:rPr>
          <w:rFonts w:hint="eastAsia" w:ascii="黑体" w:hAnsi="黑体" w:eastAsia="黑体" w:cs="黑体"/>
          <w:b/>
          <w:bCs w:val="0"/>
          <w:i w:val="0"/>
          <w:caps w:val="0"/>
          <w:color w:val="auto"/>
          <w:spacing w:val="0"/>
          <w:w w:val="100"/>
          <w:kern w:val="0"/>
          <w:sz w:val="36"/>
          <w:szCs w:val="36"/>
          <w:lang w:val="en-US" w:eastAsia="zh-CN" w:bidi="ar"/>
        </w:rPr>
        <w:t>西华县羽璐工艺品有限公司年加工10吨羽毛建设项目</w:t>
      </w:r>
      <w:r>
        <w:rPr>
          <w:rFonts w:hint="eastAsia" w:ascii="黑体" w:hAnsi="黑体" w:eastAsia="黑体" w:cs="黑体"/>
          <w:b/>
          <w:bCs w:val="0"/>
          <w:i w:val="0"/>
          <w:caps w:val="0"/>
          <w:color w:val="auto"/>
          <w:spacing w:val="0"/>
          <w:w w:val="100"/>
          <w:kern w:val="0"/>
          <w:sz w:val="36"/>
          <w:szCs w:val="36"/>
          <w:lang w:bidi="ar"/>
        </w:rPr>
        <w:t>环境影响报告表的批复</w:t>
      </w:r>
    </w:p>
    <w:p w14:paraId="7850FFF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jc w:val="both"/>
        <w:textAlignment w:val="baseline"/>
        <w:rPr>
          <w:rFonts w:hint="eastAsia" w:ascii="仿宋" w:hAnsi="仿宋" w:eastAsia="仿宋" w:cs="仿宋"/>
          <w:color w:val="000000" w:themeColor="text1"/>
          <w:sz w:val="32"/>
          <w:szCs w:val="32"/>
          <w:lang w:bidi="ar"/>
          <w14:textFill>
            <w14:solidFill>
              <w14:schemeClr w14:val="tx1"/>
            </w14:solidFill>
          </w14:textFill>
        </w:rPr>
      </w:pPr>
      <w:r>
        <w:rPr>
          <w:rFonts w:hint="eastAsia" w:ascii="仿宋" w:hAnsi="仿宋" w:eastAsia="仿宋" w:cs="仿宋"/>
          <w:color w:val="000000" w:themeColor="text1"/>
          <w:sz w:val="32"/>
          <w:szCs w:val="32"/>
          <w:lang w:val="en-US" w:eastAsia="zh-CN" w:bidi="ar"/>
          <w14:textFill>
            <w14:solidFill>
              <w14:schemeClr w14:val="tx1"/>
            </w14:solidFill>
          </w14:textFill>
        </w:rPr>
        <w:t>西华县羽璐工艺品有限公司</w:t>
      </w:r>
      <w:r>
        <w:rPr>
          <w:rFonts w:hint="eastAsia" w:ascii="仿宋" w:hAnsi="仿宋" w:eastAsia="仿宋" w:cs="仿宋"/>
          <w:color w:val="000000" w:themeColor="text1"/>
          <w:sz w:val="32"/>
          <w:szCs w:val="32"/>
          <w:lang w:bidi="ar"/>
          <w14:textFill>
            <w14:solidFill>
              <w14:schemeClr w14:val="tx1"/>
            </w14:solidFill>
          </w14:textFill>
        </w:rPr>
        <w:t>：</w:t>
      </w:r>
    </w:p>
    <w:p w14:paraId="6DCB3799">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000000" w:themeColor="text1"/>
          <w:spacing w:val="0"/>
          <w:w w:val="100"/>
          <w:sz w:val="32"/>
          <w:szCs w:val="32"/>
          <w14:textFill>
            <w14:solidFill>
              <w14:schemeClr w14:val="tx1"/>
            </w14:solidFill>
          </w14:textFill>
        </w:rPr>
      </w:pPr>
      <w:r>
        <w:rPr>
          <w:rFonts w:hint="eastAsia" w:ascii="仿宋" w:hAnsi="仿宋" w:eastAsia="仿宋" w:cs="仿宋"/>
          <w:color w:val="000000" w:themeColor="text1"/>
          <w:sz w:val="32"/>
          <w:szCs w:val="32"/>
          <w:lang w:bidi="ar"/>
          <w14:textFill>
            <w14:solidFill>
              <w14:schemeClr w14:val="tx1"/>
            </w14:solidFill>
          </w14:textFill>
        </w:rPr>
        <w:t>你公司（统一社会信用代码：</w:t>
      </w:r>
      <w:r>
        <w:rPr>
          <w:rFonts w:hint="eastAsia" w:ascii="仿宋" w:hAnsi="仿宋" w:eastAsia="仿宋" w:cs="仿宋"/>
          <w:color w:val="000000" w:themeColor="text1"/>
          <w:sz w:val="32"/>
          <w:szCs w:val="32"/>
          <w:lang w:val="en-US" w:eastAsia="zh-CN" w:bidi="ar"/>
          <w14:textFill>
            <w14:solidFill>
              <w14:schemeClr w14:val="tx1"/>
            </w14:solidFill>
          </w14:textFill>
        </w:rPr>
        <w:t>91411622MAEBQN031Y</w:t>
      </w:r>
      <w:r>
        <w:rPr>
          <w:rFonts w:hint="eastAsia" w:ascii="仿宋" w:hAnsi="仿宋" w:eastAsia="仿宋" w:cs="仿宋"/>
          <w:color w:val="000000" w:themeColor="text1"/>
          <w:sz w:val="32"/>
          <w:szCs w:val="32"/>
          <w:lang w:bidi="ar"/>
          <w14:textFill>
            <w14:solidFill>
              <w14:schemeClr w14:val="tx1"/>
            </w14:solidFill>
          </w14:textFill>
        </w:rPr>
        <w:t>）上报的由河南乐骏环保科技有限公司</w:t>
      </w:r>
      <w:r>
        <w:rPr>
          <w:rFonts w:hint="eastAsia" w:ascii="仿宋" w:hAnsi="仿宋" w:eastAsia="仿宋" w:cs="仿宋"/>
          <w:color w:val="000000" w:themeColor="text1"/>
          <w:sz w:val="32"/>
          <w:szCs w:val="32"/>
          <w:lang w:val="en-US" w:eastAsia="zh-CN" w:bidi="ar"/>
          <w14:textFill>
            <w14:solidFill>
              <w14:schemeClr w14:val="tx1"/>
            </w14:solidFill>
          </w14:textFill>
        </w:rPr>
        <w:t>编制的</w:t>
      </w:r>
      <w:r>
        <w:rPr>
          <w:rFonts w:hint="eastAsia" w:ascii="仿宋" w:hAnsi="仿宋" w:eastAsia="仿宋" w:cs="仿宋"/>
          <w:color w:val="000000" w:themeColor="text1"/>
          <w:sz w:val="32"/>
          <w:szCs w:val="32"/>
          <w:lang w:bidi="ar"/>
          <w14:textFill>
            <w14:solidFill>
              <w14:schemeClr w14:val="tx1"/>
            </w14:solidFill>
          </w14:textFill>
        </w:rPr>
        <w:t>《</w:t>
      </w:r>
      <w:r>
        <w:rPr>
          <w:rFonts w:hint="eastAsia" w:ascii="仿宋" w:hAnsi="仿宋" w:eastAsia="仿宋" w:cs="仿宋"/>
          <w:color w:val="000000" w:themeColor="text1"/>
          <w:sz w:val="32"/>
          <w:szCs w:val="32"/>
          <w:lang w:val="en-US" w:eastAsia="zh-CN" w:bidi="ar"/>
          <w14:textFill>
            <w14:solidFill>
              <w14:schemeClr w14:val="tx1"/>
            </w14:solidFill>
          </w14:textFill>
        </w:rPr>
        <w:t>西华县羽璐工艺品有限公司年加工10吨羽毛建设项目</w:t>
      </w:r>
      <w:r>
        <w:rPr>
          <w:rFonts w:hint="eastAsia" w:ascii="仿宋" w:hAnsi="仿宋" w:eastAsia="仿宋" w:cs="仿宋"/>
          <w:color w:val="000000" w:themeColor="text1"/>
          <w:sz w:val="32"/>
          <w:szCs w:val="32"/>
          <w:lang w:bidi="ar"/>
          <w14:textFill>
            <w14:solidFill>
              <w14:schemeClr w14:val="tx1"/>
            </w14:solidFill>
          </w14:textFill>
        </w:rPr>
        <w:t>环境影响报告表》（以下简称《报告表》）</w:t>
      </w:r>
      <w:r>
        <w:rPr>
          <w:rFonts w:hint="eastAsia" w:ascii="仿宋" w:hAnsi="仿宋" w:eastAsia="仿宋" w:cs="仿宋"/>
          <w:color w:val="000000" w:themeColor="text1"/>
          <w:sz w:val="32"/>
          <w:szCs w:val="32"/>
          <w:lang w:val="en-US" w:eastAsia="zh-CN" w:bidi="ar"/>
          <w14:textFill>
            <w14:solidFill>
              <w14:schemeClr w14:val="tx1"/>
            </w14:solidFill>
          </w14:textFill>
        </w:rPr>
        <w:t>已</w:t>
      </w:r>
      <w:r>
        <w:rPr>
          <w:rFonts w:hint="eastAsia" w:ascii="仿宋" w:hAnsi="仿宋" w:eastAsia="仿宋" w:cs="仿宋"/>
          <w:color w:val="000000" w:themeColor="text1"/>
          <w:sz w:val="32"/>
          <w:szCs w:val="32"/>
          <w:lang w:bidi="ar"/>
          <w14:textFill>
            <w14:solidFill>
              <w14:schemeClr w14:val="tx1"/>
            </w14:solidFill>
          </w14:textFill>
        </w:rPr>
        <w:t>收悉</w:t>
      </w:r>
      <w:r>
        <w:rPr>
          <w:rFonts w:hint="eastAsia" w:ascii="仿宋" w:hAnsi="仿宋" w:eastAsia="仿宋" w:cs="仿宋"/>
          <w:b w:val="0"/>
          <w:i w:val="0"/>
          <w:caps w:val="0"/>
          <w:color w:val="000000" w:themeColor="text1"/>
          <w:spacing w:val="0"/>
          <w:w w:val="100"/>
          <w:sz w:val="32"/>
          <w:szCs w:val="32"/>
          <w14:textFill>
            <w14:solidFill>
              <w14:schemeClr w14:val="tx1"/>
            </w14:solidFill>
          </w14:textFill>
        </w:rPr>
        <w:t>。该项目审批事项在周口市生态环境局网站公示期满。根据《中华人民共和国环境保护法》《中华人民共和国行政许可法》《中华人民共和国环境影响评价法》《建设项目环境保护管理条例》等法律法规规定，经研究，批复如下：</w:t>
      </w:r>
    </w:p>
    <w:p w14:paraId="6D168354">
      <w:pPr>
        <w:widowControl/>
        <w:snapToGrid w:val="0"/>
        <w:spacing w:line="580" w:lineRule="exact"/>
        <w:ind w:firstLine="640" w:firstLineChars="200"/>
        <w:textAlignment w:val="baseline"/>
        <w:rPr>
          <w:rFonts w:hint="default" w:ascii="Times New Roman" w:hAnsi="Times New Roman" w:eastAsia="仿宋" w:cs="Times New Roman"/>
          <w:color w:val="auto"/>
          <w:sz w:val="32"/>
          <w:szCs w:val="32"/>
        </w:rPr>
      </w:pPr>
      <w:r>
        <w:rPr>
          <w:rFonts w:hint="eastAsia" w:ascii="仿宋" w:hAnsi="仿宋" w:eastAsia="仿宋" w:cs="仿宋"/>
          <w:b w:val="0"/>
          <w:i w:val="0"/>
          <w:caps w:val="0"/>
          <w:color w:val="auto"/>
          <w:spacing w:val="0"/>
          <w:w w:val="100"/>
          <w:sz w:val="32"/>
          <w:szCs w:val="32"/>
          <w:lang w:val="en-US" w:eastAsia="zh-CN"/>
        </w:rPr>
        <w:t>一、本项目位于周口市西华县干校路路南008号，为新建项目，占地面积240平方米。项目建成后年加工10吨羽毛</w:t>
      </w:r>
      <w:r>
        <w:rPr>
          <w:rFonts w:hint="eastAsia" w:ascii="仿宋" w:hAnsi="仿宋" w:eastAsia="仿宋" w:cs="仿宋"/>
          <w:color w:val="auto"/>
          <w:sz w:val="32"/>
          <w:szCs w:val="32"/>
          <w:lang w:eastAsia="zh-CN" w:bidi="ar"/>
        </w:rPr>
        <w:t>。</w:t>
      </w:r>
      <w:r>
        <w:rPr>
          <w:rFonts w:hint="default" w:ascii="Times New Roman" w:hAnsi="Times New Roman" w:eastAsia="仿宋" w:cs="Times New Roman"/>
          <w:color w:val="auto"/>
          <w:sz w:val="32"/>
          <w:szCs w:val="32"/>
        </w:rPr>
        <w:t>该《报告表》内容符合国家有关法律法规要求和建设项目环境管理规定，符合“三线一单”生态环境分区管控要求，评价结论可信。我局批准该《报告表》，原则同意你公司按照《报告表》所列项目的建设内容和生态环境保护措施进行项目建设。</w:t>
      </w:r>
    </w:p>
    <w:p w14:paraId="36770A7F">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二、你公司应向社会公众主动公开经批准的《报告表》，并接受相关方的垂询。</w:t>
      </w:r>
    </w:p>
    <w:p w14:paraId="1B84384E">
      <w:pPr>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三、你公司应全面落实《报告表》提出的各项环境保护措施，各项环境保护设施与主体工程同时设计、同时施工、</w:t>
      </w:r>
      <w:r>
        <w:rPr>
          <w:rFonts w:hint="eastAsia" w:ascii="仿宋" w:hAnsi="仿宋" w:eastAsia="仿宋" w:cs="仿宋"/>
          <w:b w:val="0"/>
          <w:i w:val="0"/>
          <w:caps w:val="0"/>
          <w:color w:val="auto"/>
          <w:spacing w:val="0"/>
          <w:w w:val="100"/>
          <w:sz w:val="32"/>
          <w:szCs w:val="32"/>
        </w:rPr>
        <w:t>同时投入使用，确保各项污染物达标排放。</w:t>
      </w:r>
    </w:p>
    <w:p w14:paraId="6496A65B">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（一）向设计单位提供《报告表》和本批复文件，确保项目设计符合环境保护设计规范要求，落实防治环境污染和生态破坏的措施。</w:t>
      </w:r>
    </w:p>
    <w:p w14:paraId="0923BC1D">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（二）依据《报告表》和本批复文件，对项目建设过程中产生的废水、废气、固体废物、噪声等污染，以及因施工对自然、生态环境造成的破坏，采取相应的防治措施。</w:t>
      </w:r>
    </w:p>
    <w:p w14:paraId="12E7B38D">
      <w:pPr>
        <w:keepNext w:val="0"/>
        <w:keepLines w:val="0"/>
        <w:pageBreakBefore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w:t>
      </w:r>
      <w:r>
        <w:rPr>
          <w:rFonts w:hint="eastAsia" w:ascii="仿宋" w:hAnsi="仿宋" w:eastAsia="仿宋" w:cs="仿宋"/>
          <w:b w:val="0"/>
          <w:i w:val="0"/>
          <w:caps w:val="0"/>
          <w:color w:val="auto"/>
          <w:spacing w:val="0"/>
          <w:w w:val="100"/>
          <w:sz w:val="32"/>
          <w:szCs w:val="32"/>
        </w:rPr>
        <w:t>项目运营</w:t>
      </w:r>
      <w:r>
        <w:rPr>
          <w:rFonts w:hint="eastAsia" w:ascii="仿宋" w:hAnsi="仿宋" w:eastAsia="仿宋" w:cs="仿宋"/>
          <w:b w:val="0"/>
          <w:i w:val="0"/>
          <w:caps w:val="0"/>
          <w:color w:val="auto"/>
          <w:spacing w:val="0"/>
          <w:w w:val="100"/>
          <w:sz w:val="32"/>
          <w:szCs w:val="32"/>
          <w:lang w:val="en-US" w:eastAsia="zh-CN"/>
        </w:rPr>
        <w:t>时</w:t>
      </w:r>
      <w:r>
        <w:rPr>
          <w:rFonts w:hint="eastAsia" w:ascii="仿宋" w:hAnsi="仿宋" w:eastAsia="仿宋" w:cs="仿宋"/>
          <w:b w:val="0"/>
          <w:i w:val="0"/>
          <w:caps w:val="0"/>
          <w:color w:val="auto"/>
          <w:spacing w:val="0"/>
          <w:w w:val="100"/>
          <w:sz w:val="32"/>
          <w:szCs w:val="32"/>
        </w:rPr>
        <w:t>，外排污染物应满足以下要求：</w:t>
      </w:r>
    </w:p>
    <w:p w14:paraId="32BBEE09">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（1）废水：项目废水主要为洗染废水、</w:t>
      </w:r>
      <w:r>
        <w:rPr>
          <w:rFonts w:hint="eastAsia" w:ascii="仿宋" w:hAnsi="仿宋" w:eastAsia="仿宋" w:cs="仿宋"/>
          <w:b w:val="0"/>
          <w:i w:val="0"/>
          <w:caps w:val="0"/>
          <w:color w:val="auto"/>
          <w:spacing w:val="0"/>
          <w:w w:val="100"/>
          <w:sz w:val="32"/>
          <w:szCs w:val="32"/>
          <w:lang w:val="en-US" w:eastAsia="zh-CN"/>
        </w:rPr>
        <w:t>软水制备系统废水</w:t>
      </w:r>
      <w:r>
        <w:rPr>
          <w:rFonts w:hint="eastAsia" w:ascii="仿宋" w:hAnsi="仿宋" w:eastAsia="仿宋" w:cs="仿宋"/>
          <w:b w:val="0"/>
          <w:i w:val="0"/>
          <w:caps w:val="0"/>
          <w:color w:val="auto"/>
          <w:spacing w:val="0"/>
          <w:w w:val="100"/>
          <w:sz w:val="32"/>
          <w:szCs w:val="32"/>
        </w:rPr>
        <w:t>、职工生活污水</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rPr>
        <w:t>项目洗染废水经厂区污水处理站</w:t>
      </w:r>
      <w:r>
        <w:rPr>
          <w:rFonts w:hint="eastAsia" w:ascii="仿宋" w:hAnsi="仿宋" w:eastAsia="仿宋" w:cs="仿宋"/>
          <w:b w:val="0"/>
          <w:i w:val="0"/>
          <w:caps w:val="0"/>
          <w:color w:val="auto"/>
          <w:spacing w:val="0"/>
          <w:w w:val="100"/>
          <w:sz w:val="32"/>
          <w:szCs w:val="32"/>
          <w:lang w:eastAsia="zh-CN"/>
        </w:rPr>
        <w:t>（絮凝+A</w:t>
      </w:r>
      <w:r>
        <w:rPr>
          <w:rFonts w:hint="eastAsia" w:ascii="仿宋" w:hAnsi="仿宋" w:eastAsia="仿宋" w:cs="仿宋"/>
          <w:b w:val="0"/>
          <w:i w:val="0"/>
          <w:caps w:val="0"/>
          <w:color w:val="auto"/>
          <w:spacing w:val="0"/>
          <w:w w:val="100"/>
          <w:sz w:val="32"/>
          <w:szCs w:val="32"/>
          <w:vertAlign w:val="subscript"/>
          <w:lang w:eastAsia="zh-CN"/>
        </w:rPr>
        <w:t>2</w:t>
      </w:r>
      <w:r>
        <w:rPr>
          <w:rFonts w:hint="eastAsia" w:ascii="仿宋" w:hAnsi="仿宋" w:eastAsia="仿宋" w:cs="仿宋"/>
          <w:b w:val="0"/>
          <w:i w:val="0"/>
          <w:caps w:val="0"/>
          <w:color w:val="auto"/>
          <w:spacing w:val="0"/>
          <w:w w:val="100"/>
          <w:sz w:val="32"/>
          <w:szCs w:val="32"/>
          <w:lang w:eastAsia="zh-CN"/>
        </w:rPr>
        <w:t>O+砂滤）</w:t>
      </w:r>
      <w:r>
        <w:rPr>
          <w:rFonts w:hint="eastAsia" w:ascii="仿宋" w:hAnsi="仿宋" w:eastAsia="仿宋" w:cs="仿宋"/>
          <w:b w:val="0"/>
          <w:i w:val="0"/>
          <w:caps w:val="0"/>
          <w:color w:val="auto"/>
          <w:spacing w:val="0"/>
          <w:w w:val="100"/>
          <w:sz w:val="32"/>
          <w:szCs w:val="32"/>
        </w:rPr>
        <w:t>处理</w:t>
      </w:r>
      <w:r>
        <w:rPr>
          <w:rFonts w:hint="eastAsia" w:ascii="仿宋" w:hAnsi="仿宋" w:eastAsia="仿宋" w:cs="仿宋"/>
          <w:b w:val="0"/>
          <w:i w:val="0"/>
          <w:caps w:val="0"/>
          <w:color w:val="auto"/>
          <w:spacing w:val="0"/>
          <w:w w:val="100"/>
          <w:sz w:val="32"/>
          <w:szCs w:val="32"/>
          <w:lang w:val="en-US" w:eastAsia="zh-CN"/>
        </w:rPr>
        <w:t>后和软水制备系统废水一起经企业废水总排口排入市政污水管网进入西华第二污水处理厂处理后排放；</w:t>
      </w:r>
      <w:r>
        <w:rPr>
          <w:rFonts w:hint="eastAsia" w:ascii="仿宋" w:hAnsi="仿宋" w:eastAsia="仿宋" w:cs="仿宋"/>
          <w:b w:val="0"/>
          <w:i w:val="0"/>
          <w:caps w:val="0"/>
          <w:color w:val="auto"/>
          <w:spacing w:val="0"/>
          <w:w w:val="100"/>
          <w:sz w:val="32"/>
          <w:szCs w:val="32"/>
        </w:rPr>
        <w:t>职工生活污水</w:t>
      </w:r>
      <w:r>
        <w:rPr>
          <w:rFonts w:hint="eastAsia" w:ascii="仿宋" w:hAnsi="仿宋" w:eastAsia="仿宋" w:cs="仿宋"/>
          <w:b w:val="0"/>
          <w:i w:val="0"/>
          <w:caps w:val="0"/>
          <w:color w:val="auto"/>
          <w:spacing w:val="0"/>
          <w:w w:val="100"/>
          <w:sz w:val="32"/>
          <w:szCs w:val="32"/>
          <w:lang w:val="en-US" w:eastAsia="zh-CN"/>
        </w:rPr>
        <w:t>依托厂区内现有化粪池处理后排入市政污水管网进入西华第二污水处理厂处理后排放。企业废水总排口废水应满足《羽绒工业水污染物排放标准》（GB21901-2008）表2标准及西华县第二污水处理厂进水水质标准要求，同时，本项目单位产品基准排水量应满足《羽绒工业水污染物排放标准》（GB21901-2008）表2中单位产品基准排水量的要求。</w:t>
      </w:r>
    </w:p>
    <w:p w14:paraId="6D05FEA1">
      <w:pPr>
        <w:keepNext w:val="0"/>
        <w:keepLines w:val="0"/>
        <w:pageBreakBefore w:val="0"/>
        <w:widowControl w:val="0"/>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2</w:t>
      </w:r>
      <w:r>
        <w:rPr>
          <w:rFonts w:hint="eastAsia" w:ascii="仿宋" w:hAnsi="仿宋" w:eastAsia="仿宋" w:cs="仿宋"/>
          <w:b w:val="0"/>
          <w:i w:val="0"/>
          <w:caps w:val="0"/>
          <w:color w:val="auto"/>
          <w:spacing w:val="0"/>
          <w:w w:val="100"/>
          <w:sz w:val="32"/>
          <w:szCs w:val="32"/>
        </w:rPr>
        <w:t>）废气：</w:t>
      </w:r>
      <w:r>
        <w:rPr>
          <w:rFonts w:hint="eastAsia" w:ascii="仿宋" w:hAnsi="仿宋" w:eastAsia="仿宋" w:cs="仿宋"/>
          <w:b w:val="0"/>
          <w:i w:val="0"/>
          <w:caps w:val="0"/>
          <w:color w:val="auto"/>
          <w:spacing w:val="0"/>
          <w:w w:val="100"/>
          <w:sz w:val="32"/>
          <w:szCs w:val="32"/>
          <w:lang w:val="en-US" w:eastAsia="zh-CN"/>
        </w:rPr>
        <w:t>严格落实</w:t>
      </w:r>
      <w:bookmarkStart w:id="0" w:name="_GoBack"/>
      <w:bookmarkEnd w:id="0"/>
      <w:r>
        <w:rPr>
          <w:rFonts w:hint="eastAsia" w:ascii="仿宋" w:hAnsi="仿宋" w:eastAsia="仿宋" w:cs="仿宋"/>
          <w:b w:val="0"/>
          <w:i w:val="0"/>
          <w:caps w:val="0"/>
          <w:color w:val="auto"/>
          <w:spacing w:val="0"/>
          <w:w w:val="100"/>
          <w:sz w:val="32"/>
          <w:szCs w:val="32"/>
          <w:lang w:val="en-US" w:eastAsia="zh-CN"/>
        </w:rPr>
        <w:t>《报告表》提出的各项废气污染防治措施和排气筒高度要求。</w:t>
      </w:r>
    </w:p>
    <w:p w14:paraId="4FC35323">
      <w:pPr>
        <w:pStyle w:val="19"/>
        <w:keepNext w:val="0"/>
        <w:keepLines w:val="0"/>
        <w:pageBreakBefore w:val="0"/>
        <w:kinsoku/>
        <w:wordWrap/>
        <w:overflowPunct/>
        <w:topLinePunct w:val="0"/>
        <w:autoSpaceDE/>
        <w:autoSpaceDN/>
        <w:bidi w:val="0"/>
        <w:adjustRightInd/>
        <w:spacing w:line="600" w:lineRule="exact"/>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项目废气主要为恶臭气体、天然气燃烧废气。项目羽毛清洗前堆放及配套建设的污水处理设施运行中会产生少量恶臭气体，原料羽毛采用封闭场所堆放，堆放过程中喷洒除臭剂，污水处理设施采用地埋式设备、密闭遮盖、喷洒除臭剂，恶臭气体应满足《恶臭污染物排放标准》（GB14554-93）表1二级标准限值要求。项目蒸汽发生器天然气燃烧废气采用低氮燃烧后经1根15m排气筒排放，满足《锅炉大气污染物排放标准》（DB41/2089-2021）表1燃气锅炉标准要求和《河南省重污染天气通用行业应急减排措施制定技术指南》（2024年修订版）要求。</w:t>
      </w:r>
    </w:p>
    <w:p w14:paraId="6B3F7CDD">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eastAsia="zh-CN"/>
        </w:rPr>
      </w:pP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rPr>
        <w:t>噪声：</w:t>
      </w:r>
      <w:r>
        <w:rPr>
          <w:rFonts w:hint="eastAsia" w:ascii="仿宋" w:hAnsi="仿宋" w:eastAsia="仿宋" w:cs="仿宋"/>
          <w:b w:val="0"/>
          <w:i w:val="0"/>
          <w:caps w:val="0"/>
          <w:color w:val="auto"/>
          <w:spacing w:val="0"/>
          <w:w w:val="100"/>
          <w:sz w:val="32"/>
          <w:szCs w:val="32"/>
          <w:lang w:val="en-US" w:eastAsia="zh-CN"/>
        </w:rPr>
        <w:t>项目噪声</w:t>
      </w:r>
      <w:r>
        <w:rPr>
          <w:rFonts w:hint="eastAsia" w:ascii="仿宋" w:hAnsi="仿宋" w:eastAsia="仿宋" w:cs="仿宋"/>
          <w:b w:val="0"/>
          <w:i w:val="0"/>
          <w:caps w:val="0"/>
          <w:color w:val="auto"/>
          <w:spacing w:val="0"/>
          <w:w w:val="100"/>
          <w:sz w:val="32"/>
          <w:szCs w:val="32"/>
        </w:rPr>
        <w:t>经采取</w:t>
      </w:r>
      <w:r>
        <w:rPr>
          <w:rFonts w:hint="eastAsia" w:ascii="仿宋" w:hAnsi="仿宋" w:eastAsia="仿宋" w:cs="仿宋"/>
          <w:b w:val="0"/>
          <w:i w:val="0"/>
          <w:caps w:val="0"/>
          <w:color w:val="auto"/>
          <w:spacing w:val="0"/>
          <w:w w:val="100"/>
          <w:sz w:val="32"/>
          <w:szCs w:val="32"/>
          <w:lang w:val="en-US" w:eastAsia="zh-CN"/>
        </w:rPr>
        <w:t>合理布局、</w:t>
      </w:r>
      <w:r>
        <w:rPr>
          <w:rFonts w:hint="eastAsia" w:ascii="仿宋" w:hAnsi="仿宋" w:eastAsia="仿宋" w:cs="仿宋"/>
          <w:b w:val="0"/>
          <w:i w:val="0"/>
          <w:caps w:val="0"/>
          <w:color w:val="auto"/>
          <w:spacing w:val="0"/>
          <w:w w:val="100"/>
          <w:sz w:val="32"/>
          <w:szCs w:val="32"/>
        </w:rPr>
        <w:t>基础减震、厂房阻隔等</w:t>
      </w:r>
      <w:r>
        <w:rPr>
          <w:rFonts w:hint="eastAsia" w:ascii="仿宋" w:hAnsi="仿宋" w:eastAsia="仿宋" w:cs="仿宋"/>
          <w:b w:val="0"/>
          <w:i w:val="0"/>
          <w:caps w:val="0"/>
          <w:color w:val="auto"/>
          <w:spacing w:val="0"/>
          <w:w w:val="100"/>
          <w:sz w:val="32"/>
          <w:szCs w:val="32"/>
          <w:lang w:val="en-US" w:eastAsia="zh-CN"/>
        </w:rPr>
        <w:t>降噪措施</w:t>
      </w:r>
      <w:r>
        <w:rPr>
          <w:rFonts w:hint="eastAsia" w:ascii="仿宋" w:hAnsi="仿宋" w:eastAsia="仿宋" w:cs="仿宋"/>
          <w:b w:val="0"/>
          <w:i w:val="0"/>
          <w:caps w:val="0"/>
          <w:color w:val="auto"/>
          <w:spacing w:val="0"/>
          <w:w w:val="100"/>
          <w:sz w:val="32"/>
          <w:szCs w:val="32"/>
        </w:rPr>
        <w:t>后</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应</w:t>
      </w:r>
      <w:r>
        <w:rPr>
          <w:rFonts w:hint="eastAsia" w:ascii="仿宋" w:hAnsi="仿宋" w:eastAsia="仿宋" w:cs="仿宋"/>
          <w:b w:val="0"/>
          <w:i w:val="0"/>
          <w:caps w:val="0"/>
          <w:color w:val="auto"/>
          <w:spacing w:val="0"/>
          <w:w w:val="100"/>
          <w:sz w:val="32"/>
          <w:szCs w:val="32"/>
        </w:rPr>
        <w:t>满足《工业企业厂界环境噪声排放标准》（GB12348-2008）</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rPr>
        <w:t>类标准要求</w:t>
      </w:r>
      <w:r>
        <w:rPr>
          <w:rFonts w:hint="eastAsia" w:ascii="仿宋" w:hAnsi="仿宋" w:eastAsia="仿宋" w:cs="仿宋"/>
          <w:b w:val="0"/>
          <w:i w:val="0"/>
          <w:caps w:val="0"/>
          <w:color w:val="auto"/>
          <w:spacing w:val="0"/>
          <w:w w:val="100"/>
          <w:sz w:val="32"/>
          <w:szCs w:val="32"/>
          <w:lang w:eastAsia="zh-CN"/>
        </w:rPr>
        <w:t>。</w:t>
      </w:r>
    </w:p>
    <w:p w14:paraId="4783AB6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default"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lang w:val="en-US" w:eastAsia="zh-CN"/>
        </w:rPr>
        <w:t>4</w:t>
      </w:r>
      <w:r>
        <w:rPr>
          <w:rFonts w:hint="eastAsia" w:ascii="仿宋" w:hAnsi="仿宋" w:eastAsia="仿宋" w:cs="仿宋"/>
          <w:b w:val="0"/>
          <w:i w:val="0"/>
          <w:caps w:val="0"/>
          <w:color w:val="auto"/>
          <w:spacing w:val="0"/>
          <w:w w:val="100"/>
          <w:sz w:val="32"/>
          <w:szCs w:val="32"/>
          <w:u w:val="none"/>
          <w:lang w:eastAsia="zh-CN"/>
        </w:rPr>
        <w:t>）</w:t>
      </w:r>
      <w:r>
        <w:rPr>
          <w:rFonts w:hint="eastAsia" w:ascii="仿宋" w:hAnsi="仿宋" w:eastAsia="仿宋" w:cs="仿宋"/>
          <w:b w:val="0"/>
          <w:i w:val="0"/>
          <w:caps w:val="0"/>
          <w:color w:val="auto"/>
          <w:spacing w:val="0"/>
          <w:w w:val="100"/>
          <w:sz w:val="32"/>
          <w:szCs w:val="32"/>
          <w:u w:val="none"/>
        </w:rPr>
        <w:t>固体废物：</w:t>
      </w:r>
      <w:r>
        <w:rPr>
          <w:rFonts w:hint="eastAsia" w:ascii="仿宋" w:hAnsi="仿宋" w:eastAsia="仿宋" w:cs="仿宋"/>
          <w:b w:val="0"/>
          <w:i w:val="0"/>
          <w:caps w:val="0"/>
          <w:color w:val="auto"/>
          <w:spacing w:val="0"/>
          <w:w w:val="100"/>
          <w:sz w:val="32"/>
          <w:szCs w:val="32"/>
          <w:lang w:val="en-US" w:eastAsia="zh-CN"/>
        </w:rPr>
        <w:t>严格落实《报告表》提出的各项固废处置措施。</w:t>
      </w:r>
      <w:r>
        <w:rPr>
          <w:rFonts w:hint="eastAsia" w:ascii="仿宋" w:hAnsi="仿宋" w:eastAsia="仿宋" w:cs="仿宋"/>
          <w:b w:val="0"/>
          <w:i w:val="0"/>
          <w:caps w:val="0"/>
          <w:color w:val="auto"/>
          <w:spacing w:val="0"/>
          <w:w w:val="100"/>
          <w:sz w:val="32"/>
          <w:szCs w:val="32"/>
          <w:u w:val="none"/>
          <w:lang w:val="en-US" w:eastAsia="zh-CN"/>
        </w:rPr>
        <w:t>项目固体废物采取分类处置和综合利用措施，各类固体废物贮存、处置应满足《一般工业固体废物贮存和填埋污染控制标准》（GB18599-2020）、《危险废物贮存污染控制标准》(GB18597-2023)要求，避免对环境造成二次污染。</w:t>
      </w:r>
    </w:p>
    <w:p w14:paraId="604BFBF6">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5</w:t>
      </w: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eastAsia="zh-CN"/>
        </w:rPr>
        <w:t>总量控制：</w:t>
      </w:r>
      <w:r>
        <w:rPr>
          <w:rFonts w:hint="eastAsia" w:ascii="仿宋" w:hAnsi="仿宋" w:eastAsia="仿宋" w:cs="仿宋"/>
          <w:b w:val="0"/>
          <w:i w:val="0"/>
          <w:caps w:val="0"/>
          <w:color w:val="auto"/>
          <w:spacing w:val="0"/>
          <w:w w:val="100"/>
          <w:sz w:val="32"/>
          <w:szCs w:val="32"/>
          <w:lang w:val="en-US" w:eastAsia="zh-CN"/>
        </w:rPr>
        <w:t>项目建成后全厂总量为：COD：0.0345 t/a、NH</w:t>
      </w:r>
      <w:r>
        <w:rPr>
          <w:rFonts w:hint="eastAsia" w:ascii="仿宋" w:hAnsi="仿宋" w:eastAsia="仿宋" w:cs="仿宋"/>
          <w:b w:val="0"/>
          <w:i w:val="0"/>
          <w:caps w:val="0"/>
          <w:color w:val="auto"/>
          <w:spacing w:val="0"/>
          <w:w w:val="100"/>
          <w:sz w:val="32"/>
          <w:szCs w:val="32"/>
          <w:vertAlign w:val="subscript"/>
          <w:lang w:val="en-US" w:eastAsia="zh-CN"/>
        </w:rPr>
        <w:t>3</w:t>
      </w:r>
      <w:r>
        <w:rPr>
          <w:rFonts w:hint="eastAsia" w:ascii="仿宋" w:hAnsi="仿宋" w:eastAsia="仿宋" w:cs="仿宋"/>
          <w:b w:val="0"/>
          <w:i w:val="0"/>
          <w:caps w:val="0"/>
          <w:color w:val="auto"/>
          <w:spacing w:val="0"/>
          <w:w w:val="100"/>
          <w:sz w:val="32"/>
          <w:szCs w:val="32"/>
          <w:lang w:val="en-US" w:eastAsia="zh-CN"/>
        </w:rPr>
        <w:t>-N：0.0035t/a、非甲烷总烃：0t/a、氮氧化物：0.0273t/a。</w:t>
      </w:r>
    </w:p>
    <w:p w14:paraId="40AE8A63">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四</w:t>
      </w:r>
      <w:r>
        <w:rPr>
          <w:rFonts w:hint="eastAsia" w:ascii="仿宋" w:hAnsi="仿宋" w:eastAsia="仿宋" w:cs="仿宋"/>
          <w:b w:val="0"/>
          <w:i w:val="0"/>
          <w:caps w:val="0"/>
          <w:color w:val="auto"/>
          <w:spacing w:val="0"/>
          <w:w w:val="100"/>
          <w:sz w:val="32"/>
          <w:szCs w:val="32"/>
        </w:rPr>
        <w:t>、落实《报告表》提出的环境管理和监测计划。</w:t>
      </w:r>
    </w:p>
    <w:p w14:paraId="71BD04B0">
      <w:pPr>
        <w:keepNext w:val="0"/>
        <w:keepLines w:val="0"/>
        <w:pageBreakBefore w:val="0"/>
        <w:widowControl/>
        <w:kinsoku/>
        <w:wordWrap/>
        <w:overflowPunct/>
        <w:topLinePunct w:val="0"/>
        <w:autoSpaceDE/>
        <w:autoSpaceDN/>
        <w:bidi w:val="0"/>
        <w:adjustRightInd/>
        <w:snapToGrid w:val="0"/>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五</w:t>
      </w:r>
      <w:r>
        <w:rPr>
          <w:rFonts w:hint="eastAsia" w:ascii="仿宋" w:hAnsi="仿宋" w:eastAsia="仿宋" w:cs="仿宋"/>
          <w:b w:val="0"/>
          <w:i w:val="0"/>
          <w:caps w:val="0"/>
          <w:color w:val="auto"/>
          <w:spacing w:val="0"/>
          <w:w w:val="100"/>
          <w:sz w:val="32"/>
          <w:szCs w:val="32"/>
        </w:rPr>
        <w:t>、认真落实《报告表》提出的环境风险防范措施和要求，制定污染事故应急防范预案，加强日常管理，防止发生污染事故。</w:t>
      </w:r>
    </w:p>
    <w:p w14:paraId="4B57E5B4">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lang w:val="en-US" w:eastAsia="zh-CN"/>
        </w:rPr>
        <w:t>六</w:t>
      </w:r>
      <w:r>
        <w:rPr>
          <w:rFonts w:hint="eastAsia" w:ascii="仿宋" w:hAnsi="仿宋" w:eastAsia="仿宋" w:cs="仿宋"/>
          <w:b w:val="0"/>
          <w:i w:val="0"/>
          <w:caps w:val="0"/>
          <w:color w:val="auto"/>
          <w:spacing w:val="0"/>
          <w:w w:val="100"/>
          <w:sz w:val="32"/>
          <w:szCs w:val="32"/>
        </w:rPr>
        <w:t>、项目建成后，应及时组织竣工环境保护验收，经验收合格后方可正式投入运营。该项目由西华县环境监察大队</w:t>
      </w:r>
      <w:r>
        <w:rPr>
          <w:rFonts w:hint="eastAsia" w:ascii="仿宋" w:hAnsi="仿宋" w:eastAsia="仿宋" w:cs="仿宋"/>
          <w:b w:val="0"/>
          <w:i w:val="0"/>
          <w:caps w:val="0"/>
          <w:color w:val="auto"/>
          <w:spacing w:val="0"/>
          <w:w w:val="100"/>
          <w:sz w:val="32"/>
          <w:szCs w:val="32"/>
          <w:u w:val="none"/>
          <w:lang w:val="en-US" w:eastAsia="zh-CN"/>
        </w:rPr>
        <w:t>负责日常监管。</w:t>
      </w:r>
    </w:p>
    <w:p w14:paraId="0FA14815">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七、如果今后国家或我省颁布污染物排放限值的新标准，届时你公司应按新的排放标准执行。</w:t>
      </w:r>
    </w:p>
    <w:p w14:paraId="19AD4B09">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auto"/>
          <w:spacing w:val="0"/>
          <w:w w:val="100"/>
          <w:sz w:val="32"/>
          <w:szCs w:val="32"/>
          <w:u w:val="none"/>
          <w:lang w:val="en-US" w:eastAsia="zh-CN"/>
        </w:rPr>
      </w:pPr>
      <w:r>
        <w:rPr>
          <w:rFonts w:hint="eastAsia" w:ascii="仿宋" w:hAnsi="仿宋" w:eastAsia="仿宋" w:cs="仿宋"/>
          <w:b w:val="0"/>
          <w:i w:val="0"/>
          <w:caps w:val="0"/>
          <w:color w:val="auto"/>
          <w:spacing w:val="0"/>
          <w:w w:val="100"/>
          <w:sz w:val="32"/>
          <w:szCs w:val="32"/>
          <w:u w:val="none"/>
          <w:lang w:val="en-US" w:eastAsia="zh-CN"/>
        </w:rPr>
        <w:t>八、本批复有效期为 5 年，如果该项目逾期方开工建设，其环境影响报告表应报我局重新审核；如项目建设发生重大变更，应重新进行环境影响评价。</w:t>
      </w:r>
    </w:p>
    <w:p w14:paraId="7C592D07">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523F49C6">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p>
    <w:p w14:paraId="3E17130E">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FF0000"/>
          <w:spacing w:val="0"/>
          <w:w w:val="100"/>
          <w:sz w:val="32"/>
          <w:szCs w:val="32"/>
          <w:u w:val="none"/>
          <w:lang w:val="en-US" w:eastAsia="zh-CN"/>
        </w:rPr>
      </w:pPr>
      <w:r>
        <w:rPr>
          <w:rFonts w:hint="eastAsia" w:ascii="仿宋" w:hAnsi="仿宋" w:eastAsia="仿宋" w:cs="仿宋"/>
          <w:b w:val="0"/>
          <w:i w:val="0"/>
          <w:caps w:val="0"/>
          <w:color w:val="FF0000"/>
          <w:spacing w:val="0"/>
          <w:w w:val="100"/>
          <w:sz w:val="32"/>
          <w:szCs w:val="32"/>
          <w:u w:val="none"/>
          <w:lang w:val="en-US" w:eastAsia="zh-CN"/>
        </w:rPr>
        <w:t xml:space="preserve">     </w:t>
      </w:r>
    </w:p>
    <w:p w14:paraId="0FAF0500">
      <w:pPr>
        <w:keepNext w:val="0"/>
        <w:keepLines w:val="0"/>
        <w:pageBreakBefore w:val="0"/>
        <w:kinsoku/>
        <w:wordWrap/>
        <w:overflowPunct/>
        <w:topLinePunct w:val="0"/>
        <w:autoSpaceDE/>
        <w:autoSpaceDN/>
        <w:bidi w:val="0"/>
        <w:adjustRightInd/>
        <w:snapToGrid/>
        <w:spacing w:before="0" w:beforeAutospacing="0" w:after="0" w:afterAutospacing="0" w:line="580" w:lineRule="exact"/>
        <w:ind w:firstLine="4800" w:firstLineChars="1500"/>
        <w:jc w:val="both"/>
        <w:textAlignment w:val="baseline"/>
        <w:rPr>
          <w:rFonts w:hint="eastAsia" w:ascii="仿宋" w:hAnsi="仿宋" w:eastAsia="仿宋" w:cs="仿宋"/>
          <w:b w:val="0"/>
          <w:i w:val="0"/>
          <w:caps w:val="0"/>
          <w:color w:val="000000" w:themeColor="text1"/>
          <w:spacing w:val="0"/>
          <w:w w:val="100"/>
          <w:sz w:val="32"/>
          <w:szCs w:val="32"/>
          <w:lang w:eastAsia="zh-CN"/>
          <w14:textFill>
            <w14:solidFill>
              <w14:schemeClr w14:val="tx1"/>
            </w14:solidFill>
          </w14:textFill>
        </w:rPr>
      </w:pP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 xml:space="preserve"> </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202</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5</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年</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4</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月</w:t>
      </w:r>
      <w:r>
        <w:rPr>
          <w:rFonts w:hint="eastAsia" w:ascii="仿宋" w:hAnsi="仿宋" w:eastAsia="仿宋" w:cs="仿宋"/>
          <w:b w:val="0"/>
          <w:i w:val="0"/>
          <w:caps w:val="0"/>
          <w:color w:val="000000" w:themeColor="text1"/>
          <w:spacing w:val="0"/>
          <w:w w:val="100"/>
          <w:sz w:val="32"/>
          <w:szCs w:val="32"/>
          <w:highlight w:val="none"/>
          <w:lang w:val="en-US" w:eastAsia="zh-CN"/>
          <w14:textFill>
            <w14:solidFill>
              <w14:schemeClr w14:val="tx1"/>
            </w14:solidFill>
          </w14:textFill>
        </w:rPr>
        <w:t>3</w:t>
      </w:r>
      <w:r>
        <w:rPr>
          <w:rFonts w:hint="eastAsia" w:ascii="仿宋" w:hAnsi="仿宋" w:eastAsia="仿宋" w:cs="仿宋"/>
          <w:b w:val="0"/>
          <w:i w:val="0"/>
          <w:caps w:val="0"/>
          <w:color w:val="000000" w:themeColor="text1"/>
          <w:spacing w:val="0"/>
          <w:w w:val="100"/>
          <w:sz w:val="32"/>
          <w:szCs w:val="32"/>
          <w:highlight w:val="none"/>
          <w14:textFill>
            <w14:solidFill>
              <w14:schemeClr w14:val="tx1"/>
            </w14:solidFill>
          </w14:textFill>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C5BCC"/>
    <w:multiLevelType w:val="multilevel"/>
    <w:tmpl w:val="22AC5BCC"/>
    <w:lvl w:ilvl="0" w:tentative="0">
      <w:start w:val="9"/>
      <w:numFmt w:val="decimal"/>
      <w:pStyle w:val="2"/>
      <w:lvlText w:val="第%1章"/>
      <w:lvlJc w:val="left"/>
      <w:pPr>
        <w:tabs>
          <w:tab w:val="left" w:pos="1230"/>
        </w:tabs>
        <w:ind w:left="1230" w:hanging="1230"/>
      </w:pPr>
      <w:rPr>
        <w:rFonts w:hint="eastAsia"/>
      </w:rPr>
    </w:lvl>
    <w:lvl w:ilvl="1" w:tentative="0">
      <w:start w:val="1"/>
      <w:numFmt w:val="japaneseCounting"/>
      <w:lvlText w:val="%2、"/>
      <w:lvlJc w:val="left"/>
      <w:pPr>
        <w:tabs>
          <w:tab w:val="left" w:pos="1140"/>
        </w:tabs>
        <w:ind w:left="1140" w:hanging="72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s>
  <w:rsids>
    <w:rsidRoot w:val="00997082"/>
    <w:rsid w:val="000019E1"/>
    <w:rsid w:val="00011567"/>
    <w:rsid w:val="00023D75"/>
    <w:rsid w:val="00057AD5"/>
    <w:rsid w:val="00065A26"/>
    <w:rsid w:val="0008634D"/>
    <w:rsid w:val="00091FE9"/>
    <w:rsid w:val="000A5BD5"/>
    <w:rsid w:val="000A6B77"/>
    <w:rsid w:val="000C5534"/>
    <w:rsid w:val="000E5961"/>
    <w:rsid w:val="00100095"/>
    <w:rsid w:val="00111340"/>
    <w:rsid w:val="001503E4"/>
    <w:rsid w:val="00160F32"/>
    <w:rsid w:val="001754FC"/>
    <w:rsid w:val="00180EF4"/>
    <w:rsid w:val="00181911"/>
    <w:rsid w:val="00191157"/>
    <w:rsid w:val="00191C70"/>
    <w:rsid w:val="001B0754"/>
    <w:rsid w:val="001C1A43"/>
    <w:rsid w:val="001C24DE"/>
    <w:rsid w:val="001D4F88"/>
    <w:rsid w:val="001E7608"/>
    <w:rsid w:val="001F66F9"/>
    <w:rsid w:val="00205167"/>
    <w:rsid w:val="002079F4"/>
    <w:rsid w:val="00210F08"/>
    <w:rsid w:val="002162AC"/>
    <w:rsid w:val="00216B38"/>
    <w:rsid w:val="002273D6"/>
    <w:rsid w:val="00231CD2"/>
    <w:rsid w:val="00241EE3"/>
    <w:rsid w:val="002422DF"/>
    <w:rsid w:val="00265B4E"/>
    <w:rsid w:val="002752E7"/>
    <w:rsid w:val="002944D8"/>
    <w:rsid w:val="002A2592"/>
    <w:rsid w:val="002A36A0"/>
    <w:rsid w:val="002C1A9E"/>
    <w:rsid w:val="002F70FF"/>
    <w:rsid w:val="00306037"/>
    <w:rsid w:val="0031427F"/>
    <w:rsid w:val="00321375"/>
    <w:rsid w:val="00341885"/>
    <w:rsid w:val="00352C3C"/>
    <w:rsid w:val="003538E6"/>
    <w:rsid w:val="00364578"/>
    <w:rsid w:val="003B1474"/>
    <w:rsid w:val="003B2BBA"/>
    <w:rsid w:val="003C4A00"/>
    <w:rsid w:val="003D3EC3"/>
    <w:rsid w:val="003D6AEA"/>
    <w:rsid w:val="003D6CAF"/>
    <w:rsid w:val="003E47D8"/>
    <w:rsid w:val="003E5B95"/>
    <w:rsid w:val="00406556"/>
    <w:rsid w:val="00415CE4"/>
    <w:rsid w:val="004400E0"/>
    <w:rsid w:val="00440A19"/>
    <w:rsid w:val="0044687B"/>
    <w:rsid w:val="00463089"/>
    <w:rsid w:val="0047726D"/>
    <w:rsid w:val="00480127"/>
    <w:rsid w:val="004A7C76"/>
    <w:rsid w:val="004C07EA"/>
    <w:rsid w:val="004D6A1D"/>
    <w:rsid w:val="004E7838"/>
    <w:rsid w:val="004F2AB4"/>
    <w:rsid w:val="004F6171"/>
    <w:rsid w:val="00503C7D"/>
    <w:rsid w:val="005133A0"/>
    <w:rsid w:val="00525951"/>
    <w:rsid w:val="00531FC1"/>
    <w:rsid w:val="0054124D"/>
    <w:rsid w:val="005459F8"/>
    <w:rsid w:val="005552A0"/>
    <w:rsid w:val="005712D2"/>
    <w:rsid w:val="0057772B"/>
    <w:rsid w:val="0059118C"/>
    <w:rsid w:val="0059134D"/>
    <w:rsid w:val="005A48CC"/>
    <w:rsid w:val="005B1087"/>
    <w:rsid w:val="005C35A9"/>
    <w:rsid w:val="005C5410"/>
    <w:rsid w:val="006047B8"/>
    <w:rsid w:val="00611C22"/>
    <w:rsid w:val="00615A20"/>
    <w:rsid w:val="0063363E"/>
    <w:rsid w:val="00642CEB"/>
    <w:rsid w:val="00643E82"/>
    <w:rsid w:val="00645B01"/>
    <w:rsid w:val="006467A8"/>
    <w:rsid w:val="00647F5C"/>
    <w:rsid w:val="00652ADB"/>
    <w:rsid w:val="00652DAB"/>
    <w:rsid w:val="0065437A"/>
    <w:rsid w:val="00654E06"/>
    <w:rsid w:val="00656D01"/>
    <w:rsid w:val="00667FDD"/>
    <w:rsid w:val="006777E8"/>
    <w:rsid w:val="006830FC"/>
    <w:rsid w:val="006953F0"/>
    <w:rsid w:val="00695E89"/>
    <w:rsid w:val="006B191D"/>
    <w:rsid w:val="006B728E"/>
    <w:rsid w:val="006F310E"/>
    <w:rsid w:val="00700924"/>
    <w:rsid w:val="00703066"/>
    <w:rsid w:val="00715387"/>
    <w:rsid w:val="007201F2"/>
    <w:rsid w:val="00722300"/>
    <w:rsid w:val="007245C3"/>
    <w:rsid w:val="007402CA"/>
    <w:rsid w:val="00742017"/>
    <w:rsid w:val="00743DF3"/>
    <w:rsid w:val="00763BBE"/>
    <w:rsid w:val="007716AC"/>
    <w:rsid w:val="00781849"/>
    <w:rsid w:val="00787605"/>
    <w:rsid w:val="007A2371"/>
    <w:rsid w:val="007A7F59"/>
    <w:rsid w:val="007B11F3"/>
    <w:rsid w:val="007C04F6"/>
    <w:rsid w:val="007C16FD"/>
    <w:rsid w:val="007C755F"/>
    <w:rsid w:val="007C756D"/>
    <w:rsid w:val="007D6FC2"/>
    <w:rsid w:val="007E240B"/>
    <w:rsid w:val="007F3314"/>
    <w:rsid w:val="008079F6"/>
    <w:rsid w:val="00823A8D"/>
    <w:rsid w:val="008333E8"/>
    <w:rsid w:val="0083377B"/>
    <w:rsid w:val="0083744A"/>
    <w:rsid w:val="00841556"/>
    <w:rsid w:val="00871F65"/>
    <w:rsid w:val="008841E4"/>
    <w:rsid w:val="008877BE"/>
    <w:rsid w:val="008B435D"/>
    <w:rsid w:val="008C1D93"/>
    <w:rsid w:val="008C7A6E"/>
    <w:rsid w:val="008D5767"/>
    <w:rsid w:val="008E2BD3"/>
    <w:rsid w:val="008E704A"/>
    <w:rsid w:val="008E7F4B"/>
    <w:rsid w:val="0090489E"/>
    <w:rsid w:val="00921628"/>
    <w:rsid w:val="00955F24"/>
    <w:rsid w:val="00976160"/>
    <w:rsid w:val="00980908"/>
    <w:rsid w:val="00980E7D"/>
    <w:rsid w:val="009842E9"/>
    <w:rsid w:val="00995E54"/>
    <w:rsid w:val="00997082"/>
    <w:rsid w:val="009A4604"/>
    <w:rsid w:val="009A7CC2"/>
    <w:rsid w:val="009B22E7"/>
    <w:rsid w:val="009B26DD"/>
    <w:rsid w:val="009D0C65"/>
    <w:rsid w:val="009D1273"/>
    <w:rsid w:val="009D6963"/>
    <w:rsid w:val="009E459D"/>
    <w:rsid w:val="009F577E"/>
    <w:rsid w:val="00A111CF"/>
    <w:rsid w:val="00A114D9"/>
    <w:rsid w:val="00A22BD0"/>
    <w:rsid w:val="00A60BF0"/>
    <w:rsid w:val="00A7170D"/>
    <w:rsid w:val="00A875CE"/>
    <w:rsid w:val="00AE3355"/>
    <w:rsid w:val="00AF6440"/>
    <w:rsid w:val="00B003EE"/>
    <w:rsid w:val="00B1171B"/>
    <w:rsid w:val="00B16EBA"/>
    <w:rsid w:val="00B354FD"/>
    <w:rsid w:val="00B36896"/>
    <w:rsid w:val="00B41F7C"/>
    <w:rsid w:val="00B50BD7"/>
    <w:rsid w:val="00B60BCC"/>
    <w:rsid w:val="00B704B3"/>
    <w:rsid w:val="00B745F9"/>
    <w:rsid w:val="00BC63BB"/>
    <w:rsid w:val="00BD3C87"/>
    <w:rsid w:val="00BF312D"/>
    <w:rsid w:val="00C0364A"/>
    <w:rsid w:val="00C04E3A"/>
    <w:rsid w:val="00C058FB"/>
    <w:rsid w:val="00C11609"/>
    <w:rsid w:val="00C368D2"/>
    <w:rsid w:val="00C36BC1"/>
    <w:rsid w:val="00C40D58"/>
    <w:rsid w:val="00C42B11"/>
    <w:rsid w:val="00C465A5"/>
    <w:rsid w:val="00C66D5B"/>
    <w:rsid w:val="00C75DE8"/>
    <w:rsid w:val="00CA3E3D"/>
    <w:rsid w:val="00CA42D6"/>
    <w:rsid w:val="00CA5331"/>
    <w:rsid w:val="00CB0EF6"/>
    <w:rsid w:val="00CB4C40"/>
    <w:rsid w:val="00CD67ED"/>
    <w:rsid w:val="00CE0F40"/>
    <w:rsid w:val="00D01613"/>
    <w:rsid w:val="00D1418F"/>
    <w:rsid w:val="00D3752D"/>
    <w:rsid w:val="00D5688F"/>
    <w:rsid w:val="00DA137B"/>
    <w:rsid w:val="00DA3CCA"/>
    <w:rsid w:val="00DB3235"/>
    <w:rsid w:val="00DC060B"/>
    <w:rsid w:val="00DC2892"/>
    <w:rsid w:val="00DC423E"/>
    <w:rsid w:val="00DD5675"/>
    <w:rsid w:val="00DD5C59"/>
    <w:rsid w:val="00DE06FC"/>
    <w:rsid w:val="00DE50BA"/>
    <w:rsid w:val="00DF12D5"/>
    <w:rsid w:val="00DF30F3"/>
    <w:rsid w:val="00E037C5"/>
    <w:rsid w:val="00E27EC3"/>
    <w:rsid w:val="00E51277"/>
    <w:rsid w:val="00E71ED2"/>
    <w:rsid w:val="00E9499F"/>
    <w:rsid w:val="00EB1759"/>
    <w:rsid w:val="00EC4318"/>
    <w:rsid w:val="00EC45DB"/>
    <w:rsid w:val="00EC5DE4"/>
    <w:rsid w:val="00F26B2A"/>
    <w:rsid w:val="00F5016E"/>
    <w:rsid w:val="00F56F73"/>
    <w:rsid w:val="00F6538D"/>
    <w:rsid w:val="00F80520"/>
    <w:rsid w:val="00F855D0"/>
    <w:rsid w:val="00F915C7"/>
    <w:rsid w:val="00FA3D4F"/>
    <w:rsid w:val="00FB37C8"/>
    <w:rsid w:val="00FC4F8A"/>
    <w:rsid w:val="00FD10D4"/>
    <w:rsid w:val="00FD26A3"/>
    <w:rsid w:val="00FF6F25"/>
    <w:rsid w:val="011138F0"/>
    <w:rsid w:val="014054EC"/>
    <w:rsid w:val="02DA1F3A"/>
    <w:rsid w:val="039E740C"/>
    <w:rsid w:val="061A5470"/>
    <w:rsid w:val="07941933"/>
    <w:rsid w:val="093A3733"/>
    <w:rsid w:val="09756D92"/>
    <w:rsid w:val="0ACE0D86"/>
    <w:rsid w:val="0BFB5E58"/>
    <w:rsid w:val="0CB70393"/>
    <w:rsid w:val="0CB9190B"/>
    <w:rsid w:val="0CC66F65"/>
    <w:rsid w:val="0CCC4FEA"/>
    <w:rsid w:val="0D121BDD"/>
    <w:rsid w:val="0D3A7C34"/>
    <w:rsid w:val="0D705975"/>
    <w:rsid w:val="0E462B7A"/>
    <w:rsid w:val="0EBE0962"/>
    <w:rsid w:val="0F2A5902"/>
    <w:rsid w:val="0FF07241"/>
    <w:rsid w:val="10317BF5"/>
    <w:rsid w:val="11963E18"/>
    <w:rsid w:val="11EB4164"/>
    <w:rsid w:val="129E11D6"/>
    <w:rsid w:val="12F20025"/>
    <w:rsid w:val="13604DE5"/>
    <w:rsid w:val="14151024"/>
    <w:rsid w:val="14673F43"/>
    <w:rsid w:val="15C56A7A"/>
    <w:rsid w:val="15E909BB"/>
    <w:rsid w:val="16CC3676"/>
    <w:rsid w:val="17A80401"/>
    <w:rsid w:val="188B4D9E"/>
    <w:rsid w:val="18CF2A8D"/>
    <w:rsid w:val="199944A6"/>
    <w:rsid w:val="199E1ABC"/>
    <w:rsid w:val="1A151EAE"/>
    <w:rsid w:val="1B877BF0"/>
    <w:rsid w:val="1C033E58"/>
    <w:rsid w:val="1C387FA6"/>
    <w:rsid w:val="1C5A6B15"/>
    <w:rsid w:val="1C937D73"/>
    <w:rsid w:val="1C940F54"/>
    <w:rsid w:val="1CBC0BD7"/>
    <w:rsid w:val="1DB775F0"/>
    <w:rsid w:val="1E2E78B2"/>
    <w:rsid w:val="1E682698"/>
    <w:rsid w:val="1EC04283"/>
    <w:rsid w:val="1ED02718"/>
    <w:rsid w:val="1FD55B0C"/>
    <w:rsid w:val="21260D15"/>
    <w:rsid w:val="21AB776E"/>
    <w:rsid w:val="220F664A"/>
    <w:rsid w:val="22B61C24"/>
    <w:rsid w:val="23E9602A"/>
    <w:rsid w:val="270A7FB6"/>
    <w:rsid w:val="27BC654A"/>
    <w:rsid w:val="27C923FA"/>
    <w:rsid w:val="287C121A"/>
    <w:rsid w:val="28F24617"/>
    <w:rsid w:val="290145CE"/>
    <w:rsid w:val="292A5C24"/>
    <w:rsid w:val="2A5D6E23"/>
    <w:rsid w:val="2B5F68D9"/>
    <w:rsid w:val="2C9F5E1F"/>
    <w:rsid w:val="2D3C3092"/>
    <w:rsid w:val="2D897EA3"/>
    <w:rsid w:val="2EAB0AAB"/>
    <w:rsid w:val="2FDF6232"/>
    <w:rsid w:val="310444A3"/>
    <w:rsid w:val="31A517E2"/>
    <w:rsid w:val="31B9528D"/>
    <w:rsid w:val="33501C21"/>
    <w:rsid w:val="340E53A9"/>
    <w:rsid w:val="34517244"/>
    <w:rsid w:val="353D7173"/>
    <w:rsid w:val="35A03DF4"/>
    <w:rsid w:val="372758FA"/>
    <w:rsid w:val="378C7A10"/>
    <w:rsid w:val="3A2160C5"/>
    <w:rsid w:val="3A387C42"/>
    <w:rsid w:val="3B447480"/>
    <w:rsid w:val="3C636D32"/>
    <w:rsid w:val="3C6546D6"/>
    <w:rsid w:val="3C676C45"/>
    <w:rsid w:val="3C885F88"/>
    <w:rsid w:val="3D255961"/>
    <w:rsid w:val="3DAA04DB"/>
    <w:rsid w:val="3DC56A06"/>
    <w:rsid w:val="3E2D4C3E"/>
    <w:rsid w:val="3F255D10"/>
    <w:rsid w:val="40661816"/>
    <w:rsid w:val="414E46CF"/>
    <w:rsid w:val="429F5DD9"/>
    <w:rsid w:val="42D40179"/>
    <w:rsid w:val="434B68B8"/>
    <w:rsid w:val="43963680"/>
    <w:rsid w:val="43A41F82"/>
    <w:rsid w:val="444E3F5B"/>
    <w:rsid w:val="44CE0BF8"/>
    <w:rsid w:val="456A080C"/>
    <w:rsid w:val="458614D2"/>
    <w:rsid w:val="45DB537A"/>
    <w:rsid w:val="46B332A0"/>
    <w:rsid w:val="4712321B"/>
    <w:rsid w:val="48781873"/>
    <w:rsid w:val="48D22EEA"/>
    <w:rsid w:val="48FA020D"/>
    <w:rsid w:val="490B5F77"/>
    <w:rsid w:val="492427D7"/>
    <w:rsid w:val="4AE9678B"/>
    <w:rsid w:val="4B4B311B"/>
    <w:rsid w:val="4BAB1C93"/>
    <w:rsid w:val="4C442F57"/>
    <w:rsid w:val="4CAE3B71"/>
    <w:rsid w:val="4CC00BC3"/>
    <w:rsid w:val="4CE76421"/>
    <w:rsid w:val="4D4F7345"/>
    <w:rsid w:val="4E197388"/>
    <w:rsid w:val="4E9A4668"/>
    <w:rsid w:val="4F117D17"/>
    <w:rsid w:val="4FE55B89"/>
    <w:rsid w:val="50266282"/>
    <w:rsid w:val="50697A27"/>
    <w:rsid w:val="51A57111"/>
    <w:rsid w:val="520420FD"/>
    <w:rsid w:val="52086185"/>
    <w:rsid w:val="52182C17"/>
    <w:rsid w:val="525437E7"/>
    <w:rsid w:val="52E77F02"/>
    <w:rsid w:val="53150661"/>
    <w:rsid w:val="54E63D3C"/>
    <w:rsid w:val="5560589C"/>
    <w:rsid w:val="5670048A"/>
    <w:rsid w:val="570D55B0"/>
    <w:rsid w:val="574F09EA"/>
    <w:rsid w:val="57BE4AFC"/>
    <w:rsid w:val="58081F7F"/>
    <w:rsid w:val="586B6A32"/>
    <w:rsid w:val="592941F7"/>
    <w:rsid w:val="593834A0"/>
    <w:rsid w:val="5A7122F9"/>
    <w:rsid w:val="5B2B4256"/>
    <w:rsid w:val="5B920779"/>
    <w:rsid w:val="5C8B392E"/>
    <w:rsid w:val="5DA9751B"/>
    <w:rsid w:val="5DEA21A7"/>
    <w:rsid w:val="5E1E6518"/>
    <w:rsid w:val="5E224037"/>
    <w:rsid w:val="60310561"/>
    <w:rsid w:val="60563B24"/>
    <w:rsid w:val="60B42F40"/>
    <w:rsid w:val="60BD3BA3"/>
    <w:rsid w:val="613B0074"/>
    <w:rsid w:val="62097BE6"/>
    <w:rsid w:val="623610EF"/>
    <w:rsid w:val="62E80C7F"/>
    <w:rsid w:val="636D4C9D"/>
    <w:rsid w:val="65082410"/>
    <w:rsid w:val="656C45B7"/>
    <w:rsid w:val="65CC4888"/>
    <w:rsid w:val="66546D57"/>
    <w:rsid w:val="66CE08A1"/>
    <w:rsid w:val="67B35CFF"/>
    <w:rsid w:val="6859326B"/>
    <w:rsid w:val="689B762B"/>
    <w:rsid w:val="690A7BA1"/>
    <w:rsid w:val="691E189E"/>
    <w:rsid w:val="694806C9"/>
    <w:rsid w:val="6A056464"/>
    <w:rsid w:val="6A407AFC"/>
    <w:rsid w:val="6AD26FB0"/>
    <w:rsid w:val="6BDF70C3"/>
    <w:rsid w:val="6CCD7863"/>
    <w:rsid w:val="6FB22D40"/>
    <w:rsid w:val="70292DA7"/>
    <w:rsid w:val="709D12FB"/>
    <w:rsid w:val="70B84640"/>
    <w:rsid w:val="70E67DEB"/>
    <w:rsid w:val="71B27B15"/>
    <w:rsid w:val="72534367"/>
    <w:rsid w:val="72DF4AF4"/>
    <w:rsid w:val="733F0D8F"/>
    <w:rsid w:val="73807F5F"/>
    <w:rsid w:val="74926B84"/>
    <w:rsid w:val="74B709B7"/>
    <w:rsid w:val="767B23D6"/>
    <w:rsid w:val="768B4DE1"/>
    <w:rsid w:val="76961B8C"/>
    <w:rsid w:val="76E36DCC"/>
    <w:rsid w:val="779A34F6"/>
    <w:rsid w:val="7AA65250"/>
    <w:rsid w:val="7AD46261"/>
    <w:rsid w:val="7D1B0177"/>
    <w:rsid w:val="7E074257"/>
    <w:rsid w:val="7F18187C"/>
    <w:rsid w:val="7F505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0"/>
    <w:pPr>
      <w:keepNext/>
      <w:keepLines/>
      <w:numPr>
        <w:ilvl w:val="0"/>
        <w:numId w:val="1"/>
      </w:numPr>
      <w:spacing w:before="240" w:after="120"/>
      <w:jc w:val="center"/>
      <w:outlineLvl w:val="0"/>
    </w:pPr>
    <w:rPr>
      <w:rFonts w:eastAsia="黑体"/>
      <w:b/>
      <w:bCs/>
      <w:kern w:val="44"/>
      <w:sz w:val="42"/>
    </w:rPr>
  </w:style>
  <w:style w:type="paragraph" w:styleId="3">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rPr>
  </w:style>
  <w:style w:type="character" w:default="1" w:styleId="18">
    <w:name w:val="Default Paragraph Font"/>
    <w:semiHidden/>
    <w:unhideWhenUsed/>
    <w:qFormat/>
    <w:uiPriority w:val="1"/>
  </w:style>
  <w:style w:type="table" w:default="1" w:styleId="16">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next w:val="3"/>
    <w:autoRedefine/>
    <w:qFormat/>
    <w:uiPriority w:val="0"/>
  </w:style>
  <w:style w:type="paragraph" w:styleId="5">
    <w:name w:val="Body Text"/>
    <w:basedOn w:val="1"/>
    <w:next w:val="6"/>
    <w:qFormat/>
    <w:uiPriority w:val="0"/>
    <w:pPr>
      <w:widowControl/>
      <w:snapToGrid w:val="0"/>
      <w:spacing w:before="60" w:after="160" w:line="259" w:lineRule="auto"/>
      <w:ind w:right="113"/>
    </w:pPr>
    <w:rPr>
      <w:kern w:val="0"/>
      <w:sz w:val="18"/>
      <w:szCs w:val="20"/>
    </w:rPr>
  </w:style>
  <w:style w:type="paragraph" w:customStyle="1" w:styleId="6">
    <w:name w:val="xl27"/>
    <w:basedOn w:val="1"/>
    <w:autoRedefine/>
    <w:qFormat/>
    <w:uiPriority w:val="0"/>
    <w:pPr>
      <w:widowControl/>
      <w:pBdr>
        <w:bottom w:val="single" w:color="auto" w:sz="12" w:space="0"/>
      </w:pBdr>
      <w:spacing w:before="100" w:beforeLines="0" w:after="100" w:afterLines="0"/>
      <w:jc w:val="center"/>
    </w:pPr>
    <w:rPr>
      <w:rFonts w:ascii="宋体" w:hAnsi="宋体"/>
      <w:kern w:val="0"/>
      <w:szCs w:val="20"/>
    </w:rPr>
  </w:style>
  <w:style w:type="paragraph" w:styleId="7">
    <w:name w:val="Block Text"/>
    <w:basedOn w:val="1"/>
    <w:next w:val="1"/>
    <w:qFormat/>
    <w:uiPriority w:val="0"/>
    <w:pPr>
      <w:spacing w:line="480" w:lineRule="exact"/>
      <w:ind w:left="100" w:right="111" w:firstLine="556"/>
    </w:pPr>
    <w:rPr>
      <w:sz w:val="28"/>
      <w:szCs w:val="20"/>
    </w:rPr>
  </w:style>
  <w:style w:type="paragraph" w:styleId="8">
    <w:name w:val="Body Text Indent 2"/>
    <w:basedOn w:val="1"/>
    <w:autoRedefine/>
    <w:qFormat/>
    <w:uiPriority w:val="0"/>
    <w:pPr>
      <w:spacing w:line="360" w:lineRule="auto"/>
      <w:ind w:firstLine="456" w:firstLineChars="200"/>
      <w:jc w:val="left"/>
    </w:pPr>
    <w:rPr>
      <w:bCs/>
      <w:sz w:val="24"/>
    </w:rPr>
  </w:style>
  <w:style w:type="paragraph" w:styleId="9">
    <w:name w:val="Balloon Text"/>
    <w:basedOn w:val="1"/>
    <w:link w:val="22"/>
    <w:autoRedefine/>
    <w:semiHidden/>
    <w:unhideWhenUsed/>
    <w:qFormat/>
    <w:uiPriority w:val="99"/>
    <w:rPr>
      <w:sz w:val="18"/>
      <w:szCs w:val="18"/>
    </w:rPr>
  </w:style>
  <w:style w:type="paragraph" w:styleId="10">
    <w:name w:val="footer"/>
    <w:basedOn w:val="1"/>
    <w:link w:val="24"/>
    <w:unhideWhenUsed/>
    <w:qFormat/>
    <w:uiPriority w:val="99"/>
    <w:pPr>
      <w:tabs>
        <w:tab w:val="center" w:pos="4153"/>
        <w:tab w:val="right" w:pos="8306"/>
      </w:tabs>
      <w:snapToGrid w:val="0"/>
      <w:jc w:val="left"/>
    </w:pPr>
    <w:rPr>
      <w:sz w:val="18"/>
      <w:szCs w:val="18"/>
    </w:rPr>
  </w:style>
  <w:style w:type="paragraph" w:styleId="11">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Message Header"/>
    <w:basedOn w:val="1"/>
    <w:autoRedefine/>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rPr>
  </w:style>
  <w:style w:type="paragraph" w:styleId="13">
    <w:name w:val="Normal (Web)"/>
    <w:basedOn w:val="1"/>
    <w:semiHidden/>
    <w:unhideWhenUsed/>
    <w:qFormat/>
    <w:uiPriority w:val="99"/>
    <w:rPr>
      <w:sz w:val="24"/>
    </w:rPr>
  </w:style>
  <w:style w:type="paragraph" w:styleId="14">
    <w:name w:val="Body Text First Indent"/>
    <w:basedOn w:val="5"/>
    <w:next w:val="1"/>
    <w:qFormat/>
    <w:uiPriority w:val="0"/>
    <w:pPr>
      <w:ind w:firstLine="420" w:firstLineChars="100"/>
    </w:pPr>
  </w:style>
  <w:style w:type="paragraph" w:styleId="15">
    <w:name w:val="Body Text First Indent 2"/>
    <w:basedOn w:val="1"/>
    <w:next w:val="1"/>
    <w:autoRedefine/>
    <w:qFormat/>
    <w:uiPriority w:val="0"/>
    <w:pPr>
      <w:spacing w:after="120" w:afterLines="0" w:line="240" w:lineRule="auto"/>
      <w:ind w:left="420" w:leftChars="200" w:firstLine="420" w:firstLineChars="200"/>
    </w:pPr>
    <w:rPr>
      <w:spacing w:val="0"/>
      <w:sz w:val="28"/>
    </w:rPr>
  </w:style>
  <w:style w:type="table" w:styleId="17">
    <w:name w:val="Table Grid"/>
    <w:basedOn w:val="16"/>
    <w:autoRedefine/>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首行缩进2个字符"/>
    <w:basedOn w:val="1"/>
    <w:autoRedefine/>
    <w:qFormat/>
    <w:uiPriority w:val="0"/>
    <w:pPr>
      <w:spacing w:line="360" w:lineRule="auto"/>
      <w:ind w:firstLine="200" w:firstLineChars="200"/>
    </w:pPr>
    <w:rPr>
      <w:rFonts w:ascii="宋体"/>
      <w:kern w:val="28"/>
      <w:sz w:val="28"/>
      <w:szCs w:val="28"/>
    </w:rPr>
  </w:style>
  <w:style w:type="paragraph" w:customStyle="1" w:styleId="20">
    <w:name w:val="Default"/>
    <w:basedOn w:val="21"/>
    <w:next w:val="1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1">
    <w:name w:val="批注文字1"/>
    <w:qFormat/>
    <w:uiPriority w:val="0"/>
    <w:pPr>
      <w:widowControl w:val="0"/>
    </w:pPr>
    <w:rPr>
      <w:rFonts w:ascii="Times New Roman" w:hAnsi="Times New Roman" w:eastAsia="宋体" w:cs="Times New Roman"/>
      <w:color w:val="000000"/>
      <w:kern w:val="2"/>
      <w:sz w:val="21"/>
      <w:szCs w:val="24"/>
      <w:lang w:val="en-US" w:eastAsia="zh-CN" w:bidi="ar-SA"/>
    </w:rPr>
  </w:style>
  <w:style w:type="character" w:customStyle="1" w:styleId="22">
    <w:name w:val="批注框文本 Char"/>
    <w:basedOn w:val="18"/>
    <w:link w:val="9"/>
    <w:semiHidden/>
    <w:qFormat/>
    <w:uiPriority w:val="99"/>
    <w:rPr>
      <w:sz w:val="18"/>
      <w:szCs w:val="18"/>
    </w:rPr>
  </w:style>
  <w:style w:type="character" w:customStyle="1" w:styleId="23">
    <w:name w:val="页眉 Char"/>
    <w:basedOn w:val="18"/>
    <w:link w:val="11"/>
    <w:autoRedefine/>
    <w:qFormat/>
    <w:uiPriority w:val="99"/>
    <w:rPr>
      <w:sz w:val="18"/>
      <w:szCs w:val="18"/>
    </w:rPr>
  </w:style>
  <w:style w:type="character" w:customStyle="1" w:styleId="24">
    <w:name w:val="页脚 Char"/>
    <w:basedOn w:val="18"/>
    <w:link w:val="10"/>
    <w:qFormat/>
    <w:uiPriority w:val="99"/>
    <w:rPr>
      <w:sz w:val="18"/>
      <w:szCs w:val="18"/>
    </w:rPr>
  </w:style>
  <w:style w:type="paragraph" w:styleId="25">
    <w:name w:val="List Paragraph"/>
    <w:basedOn w:val="1"/>
    <w:qFormat/>
    <w:uiPriority w:val="34"/>
    <w:pPr>
      <w:ind w:firstLine="420" w:firstLineChars="200"/>
    </w:pPr>
  </w:style>
  <w:style w:type="paragraph" w:customStyle="1" w:styleId="26">
    <w:name w:val="Char Char"/>
    <w:basedOn w:val="1"/>
    <w:next w:val="1"/>
    <w:qFormat/>
    <w:uiPriority w:val="0"/>
    <w:pPr>
      <w:spacing w:line="360" w:lineRule="auto"/>
      <w:ind w:firstLine="200" w:firstLineChars="200"/>
    </w:pPr>
    <w:rPr>
      <w:rFonts w:ascii="宋体" w:hAnsi="宋体" w:cs="宋体"/>
      <w:sz w:val="24"/>
    </w:rPr>
  </w:style>
  <w:style w:type="paragraph" w:customStyle="1" w:styleId="27">
    <w:name w:val="p"/>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 w:type="character" w:customStyle="1" w:styleId="28">
    <w:name w:val="fontstyle01"/>
    <w:basedOn w:val="18"/>
    <w:qFormat/>
    <w:uiPriority w:val="0"/>
    <w:rPr>
      <w:rFonts w:hint="eastAsia" w:ascii="宋体" w:hAnsi="宋体" w:eastAsia="宋体"/>
      <w:color w:val="000000"/>
      <w:sz w:val="30"/>
      <w:szCs w:val="3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1629</Words>
  <Characters>1782</Characters>
  <Lines>12</Lines>
  <Paragraphs>3</Paragraphs>
  <TotalTime>3</TotalTime>
  <ScaleCrop>false</ScaleCrop>
  <LinksUpToDate>false</LinksUpToDate>
  <CharactersWithSpaces>1792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2021-05-27T07:06:00Z</dcterms:created>
  <dc:creator>未定义</dc:creator>
  <cp:lastModifiedBy>姣</cp:lastModifiedBy>
  <cp:lastPrinted>2024-01-15T05:15:00Z</cp:lastPrinted>
  <dcterms:modified xsi:type="dcterms:W3CDTF">2025-04-02T09:25:35Z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D2DCA50A709D41EC81A08C1370548F2E_13</vt:lpwstr>
  </property>
  <property fmtid="{D5CDD505-2E9C-101B-9397-08002B2CF9AE}" pid="4" name="KSOTemplateDocerSaveRecord">
    <vt:lpwstr>eyJoZGlkIjoiNDA5NjNlOTQxZmY5ZTdkMjY0NWQ4NGZhZjU3MjM4ODMiLCJ1c2VySWQiOiI3MjUwMzAzMTkifQ==</vt:lpwstr>
  </property>
</Properties>
</file>