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after="312"/>
        <w:jc w:val="center"/>
        <w:rPr>
          <w:rFonts w:ascii="Times New Roman" w:hAnsi="Times New Roman" w:eastAsia="黑体" w:cs="Times New Roman"/>
          <w:b/>
          <w:color w:val="0070C0"/>
          <w:sz w:val="30"/>
          <w:szCs w:val="30"/>
        </w:rPr>
      </w:pPr>
      <w:bookmarkStart w:id="0" w:name="_GoBack"/>
      <w:r>
        <w:rPr>
          <w:rFonts w:ascii="Times New Roman" w:hAnsi="Times New Roman" w:eastAsia="黑体" w:cs="Times New Roman"/>
          <w:b/>
          <w:color w:val="0070C0"/>
          <w:sz w:val="30"/>
          <w:szCs w:val="30"/>
        </w:rPr>
        <w:t>关于202</w:t>
      </w:r>
      <w:r>
        <w:rPr>
          <w:rFonts w:hint="eastAsia" w:ascii="Times New Roman" w:hAnsi="Times New Roman" w:eastAsia="黑体" w:cs="Times New Roman"/>
          <w:b/>
          <w:color w:val="0070C0"/>
          <w:sz w:val="30"/>
          <w:szCs w:val="30"/>
          <w:lang w:val="en-US" w:eastAsia="zh-CN"/>
        </w:rPr>
        <w:t>4</w:t>
      </w:r>
      <w:r>
        <w:rPr>
          <w:rFonts w:ascii="Times New Roman" w:hAnsi="Times New Roman" w:eastAsia="黑体" w:cs="Times New Roman"/>
          <w:b/>
          <w:color w:val="0070C0"/>
          <w:sz w:val="30"/>
          <w:szCs w:val="30"/>
        </w:rPr>
        <w:t>年</w:t>
      </w:r>
      <w:r>
        <w:rPr>
          <w:rFonts w:hint="eastAsia" w:ascii="Times New Roman" w:hAnsi="Times New Roman" w:eastAsia="黑体" w:cs="Times New Roman"/>
          <w:b/>
          <w:color w:val="0070C0"/>
          <w:sz w:val="30"/>
          <w:szCs w:val="30"/>
          <w:lang w:val="en-US" w:eastAsia="zh-CN"/>
        </w:rPr>
        <w:t>1</w:t>
      </w:r>
      <w:r>
        <w:rPr>
          <w:rFonts w:ascii="Times New Roman" w:hAnsi="Times New Roman" w:eastAsia="黑体" w:cs="Times New Roman"/>
          <w:b/>
          <w:color w:val="0070C0"/>
          <w:sz w:val="30"/>
          <w:szCs w:val="30"/>
        </w:rPr>
        <w:t>月</w:t>
      </w:r>
      <w:r>
        <w:rPr>
          <w:rFonts w:hint="eastAsia" w:ascii="Times New Roman" w:hAnsi="Times New Roman" w:eastAsia="黑体" w:cs="Times New Roman"/>
          <w:b/>
          <w:color w:val="0070C0"/>
          <w:sz w:val="30"/>
          <w:szCs w:val="30"/>
          <w:lang w:val="en-US" w:eastAsia="zh-CN"/>
        </w:rPr>
        <w:t>9</w:t>
      </w:r>
      <w:r>
        <w:rPr>
          <w:rFonts w:ascii="Times New Roman" w:hAnsi="Times New Roman" w:eastAsia="黑体" w:cs="Times New Roman"/>
          <w:b/>
          <w:color w:val="0070C0"/>
          <w:sz w:val="30"/>
          <w:szCs w:val="30"/>
        </w:rPr>
        <w:t>日</w:t>
      </w:r>
      <w:r>
        <w:rPr>
          <w:rFonts w:hint="eastAsia" w:ascii="Times New Roman" w:hAnsi="Times New Roman" w:eastAsia="黑体" w:cs="Times New Roman"/>
          <w:b/>
          <w:color w:val="0070C0"/>
          <w:sz w:val="30"/>
          <w:szCs w:val="30"/>
          <w:lang w:eastAsia="zh-CN"/>
        </w:rPr>
        <w:t>拟</w:t>
      </w:r>
      <w:r>
        <w:rPr>
          <w:rFonts w:ascii="Times New Roman" w:hAnsi="Times New Roman" w:eastAsia="黑体" w:cs="Times New Roman"/>
          <w:b/>
          <w:color w:val="0070C0"/>
          <w:sz w:val="30"/>
          <w:szCs w:val="30"/>
        </w:rPr>
        <w:t>对</w:t>
      </w:r>
      <w:r>
        <w:rPr>
          <w:rFonts w:hint="eastAsia" w:ascii="Times New Roman" w:hAnsi="Times New Roman" w:eastAsia="黑体" w:cs="Times New Roman"/>
          <w:b/>
          <w:color w:val="0070C0"/>
          <w:sz w:val="30"/>
          <w:szCs w:val="30"/>
        </w:rPr>
        <w:t>淮阳区康增塑料制品厂年产30万个水果筐建设项目</w:t>
      </w:r>
      <w:r>
        <w:rPr>
          <w:rFonts w:hint="eastAsia" w:ascii="Times New Roman" w:hAnsi="Times New Roman" w:eastAsia="黑体" w:cs="Times New Roman"/>
          <w:b/>
          <w:color w:val="0070C0"/>
          <w:sz w:val="30"/>
          <w:szCs w:val="30"/>
          <w:lang w:eastAsia="zh-CN"/>
        </w:rPr>
        <w:t>、河南鸿运实业有限公司年产2万吨塑料颗粒生产项目</w:t>
      </w:r>
      <w:r>
        <w:rPr>
          <w:rFonts w:ascii="Times New Roman" w:hAnsi="Times New Roman" w:eastAsia="黑体" w:cs="Times New Roman"/>
          <w:b/>
          <w:color w:val="0070C0"/>
          <w:sz w:val="30"/>
          <w:szCs w:val="30"/>
        </w:rPr>
        <w:t>环境影响评价文件</w:t>
      </w:r>
      <w:r>
        <w:rPr>
          <w:rFonts w:hint="eastAsia" w:ascii="Times New Roman" w:hAnsi="Times New Roman" w:eastAsia="黑体" w:cs="Times New Roman"/>
          <w:b/>
          <w:color w:val="0070C0"/>
          <w:sz w:val="30"/>
          <w:szCs w:val="30"/>
          <w:lang w:val="en-US" w:eastAsia="zh-CN"/>
        </w:rPr>
        <w:t>受理拟审批</w:t>
      </w:r>
      <w:r>
        <w:rPr>
          <w:rFonts w:hint="eastAsia" w:ascii="Times New Roman" w:hAnsi="Times New Roman" w:eastAsia="黑体" w:cs="Times New Roman"/>
          <w:b/>
          <w:color w:val="0070C0"/>
          <w:sz w:val="30"/>
          <w:szCs w:val="30"/>
          <w:lang w:eastAsia="zh-CN"/>
        </w:rPr>
        <w:t>决定</w:t>
      </w:r>
      <w:r>
        <w:rPr>
          <w:rFonts w:ascii="Times New Roman" w:hAnsi="Times New Roman" w:eastAsia="黑体" w:cs="Times New Roman"/>
          <w:b/>
          <w:color w:val="0070C0"/>
          <w:sz w:val="30"/>
          <w:szCs w:val="30"/>
        </w:rPr>
        <w:t>的公示</w:t>
      </w:r>
    </w:p>
    <w:bookmarkEnd w:id="0"/>
    <w:p>
      <w:pPr>
        <w:keepNext w:val="0"/>
        <w:keepLines w:val="0"/>
        <w:pageBreakBefore w:val="0"/>
        <w:widowControl w:val="0"/>
        <w:kinsoku/>
        <w:wordWrap/>
        <w:overflowPunct/>
        <w:topLinePunct w:val="0"/>
        <w:autoSpaceDE/>
        <w:autoSpaceDN/>
        <w:bidi w:val="0"/>
        <w:adjustRightInd/>
        <w:snapToGrid/>
        <w:spacing w:after="313" w:afterLines="100" w:line="360" w:lineRule="auto"/>
        <w:ind w:left="0" w:leftChars="0" w:right="0" w:rightChars="0" w:firstLine="600" w:firstLineChars="250"/>
        <w:jc w:val="both"/>
        <w:textAlignment w:val="auto"/>
        <w:outlineLvl w:val="9"/>
        <w:rPr>
          <w:rFonts w:ascii="Times New Roman" w:hAnsi="Times New Roman" w:cs="Times New Roman"/>
          <w:color w:val="0070C0"/>
          <w:sz w:val="24"/>
          <w:szCs w:val="24"/>
        </w:rPr>
      </w:pPr>
    </w:p>
    <w:p>
      <w:pPr>
        <w:keepNext w:val="0"/>
        <w:keepLines w:val="0"/>
        <w:pageBreakBefore w:val="0"/>
        <w:widowControl w:val="0"/>
        <w:kinsoku/>
        <w:wordWrap/>
        <w:overflowPunct/>
        <w:topLinePunct w:val="0"/>
        <w:autoSpaceDE/>
        <w:autoSpaceDN/>
        <w:bidi w:val="0"/>
        <w:adjustRightInd/>
        <w:snapToGrid/>
        <w:spacing w:after="313" w:afterLines="100" w:line="360" w:lineRule="auto"/>
        <w:ind w:left="0" w:leftChars="0" w:right="0" w:rightChars="0" w:firstLine="600" w:firstLineChars="250"/>
        <w:jc w:val="both"/>
        <w:textAlignment w:val="auto"/>
        <w:outlineLvl w:val="9"/>
        <w:rPr>
          <w:rFonts w:ascii="Times New Roman" w:hAnsi="Times New Roman" w:eastAsia="宋体" w:cs="Times New Roman"/>
          <w:color w:val="0070C0"/>
          <w:sz w:val="24"/>
          <w:szCs w:val="24"/>
        </w:rPr>
      </w:pPr>
      <w:r>
        <w:rPr>
          <w:rFonts w:ascii="Times New Roman" w:hAnsi="Times New Roman" w:cs="Times New Roman"/>
          <w:color w:val="0070C0"/>
          <w:sz w:val="24"/>
          <w:szCs w:val="24"/>
        </w:rPr>
        <w:t>根据建设项目环境影响评价审批程序的有关规定，经审议，我局受理并拟对</w:t>
      </w:r>
      <w:r>
        <w:rPr>
          <w:rFonts w:hint="eastAsia" w:ascii="Times New Roman" w:hAnsi="Times New Roman" w:cs="Times New Roman"/>
          <w:color w:val="0070C0"/>
          <w:sz w:val="24"/>
          <w:szCs w:val="24"/>
        </w:rPr>
        <w:t>淮阳区康增塑料制品厂年产30万个水果筐建设项目</w:t>
      </w:r>
      <w:r>
        <w:rPr>
          <w:rFonts w:hint="eastAsia" w:ascii="Times New Roman" w:hAnsi="Times New Roman" w:cs="Times New Roman"/>
          <w:color w:val="0070C0"/>
          <w:sz w:val="24"/>
          <w:szCs w:val="24"/>
          <w:lang w:eastAsia="zh-CN"/>
        </w:rPr>
        <w:t>等</w:t>
      </w:r>
      <w:r>
        <w:rPr>
          <w:rFonts w:hint="eastAsia" w:ascii="Times New Roman" w:hAnsi="Times New Roman" w:cs="Times New Roman"/>
          <w:color w:val="0070C0"/>
          <w:sz w:val="24"/>
          <w:szCs w:val="24"/>
          <w:lang w:val="en-US" w:eastAsia="zh-CN"/>
        </w:rPr>
        <w:t>2个项目</w:t>
      </w:r>
      <w:r>
        <w:rPr>
          <w:rFonts w:ascii="Times New Roman" w:hAnsi="Times New Roman" w:cs="Times New Roman"/>
          <w:color w:val="0070C0"/>
          <w:sz w:val="24"/>
          <w:szCs w:val="24"/>
        </w:rPr>
        <w:t>环境影响评价文件作出审批意见。为保证审批意见的严肃性和公正性，现将建设项目环境影</w:t>
      </w:r>
      <w:r>
        <w:rPr>
          <w:rFonts w:ascii="Times New Roman" w:hAnsi="Times New Roman" w:eastAsia="宋体" w:cs="Times New Roman"/>
          <w:color w:val="0070C0"/>
          <w:sz w:val="24"/>
          <w:szCs w:val="24"/>
        </w:rPr>
        <w:t>响评价文件的基本情况予以公示。如有异议，请在公示期内反馈我局行政审批股。公示期为202</w:t>
      </w:r>
      <w:r>
        <w:rPr>
          <w:rFonts w:hint="eastAsia" w:ascii="Times New Roman" w:hAnsi="Times New Roman" w:eastAsia="宋体" w:cs="Times New Roman"/>
          <w:color w:val="0070C0"/>
          <w:sz w:val="24"/>
          <w:szCs w:val="24"/>
          <w:lang w:val="en-US" w:eastAsia="zh-CN"/>
        </w:rPr>
        <w:t>4</w:t>
      </w:r>
      <w:r>
        <w:rPr>
          <w:rFonts w:ascii="Times New Roman" w:hAnsi="Times New Roman" w:cs="Times New Roman"/>
          <w:color w:val="0070C0"/>
          <w:sz w:val="24"/>
          <w:szCs w:val="24"/>
        </w:rPr>
        <w:t>年</w:t>
      </w:r>
      <w:r>
        <w:rPr>
          <w:rFonts w:hint="eastAsia" w:ascii="Times New Roman" w:hAnsi="Times New Roman" w:cs="Times New Roman"/>
          <w:color w:val="0070C0"/>
          <w:sz w:val="24"/>
          <w:szCs w:val="24"/>
          <w:lang w:val="en-US" w:eastAsia="zh-CN"/>
        </w:rPr>
        <w:t>1</w:t>
      </w:r>
      <w:r>
        <w:rPr>
          <w:rFonts w:ascii="Times New Roman" w:hAnsi="Times New Roman" w:cs="Times New Roman"/>
          <w:color w:val="0070C0"/>
          <w:sz w:val="24"/>
          <w:szCs w:val="24"/>
        </w:rPr>
        <w:t>月</w:t>
      </w:r>
      <w:r>
        <w:rPr>
          <w:rFonts w:hint="eastAsia" w:ascii="Times New Roman" w:hAnsi="Times New Roman" w:cs="Times New Roman"/>
          <w:color w:val="0070C0"/>
          <w:sz w:val="24"/>
          <w:szCs w:val="24"/>
          <w:lang w:val="en-US" w:eastAsia="zh-CN"/>
        </w:rPr>
        <w:t>9</w:t>
      </w:r>
      <w:r>
        <w:rPr>
          <w:rFonts w:ascii="Times New Roman" w:hAnsi="Times New Roman" w:cs="Times New Roman"/>
          <w:color w:val="0070C0"/>
          <w:sz w:val="24"/>
          <w:szCs w:val="24"/>
        </w:rPr>
        <w:t>日-202</w:t>
      </w:r>
      <w:r>
        <w:rPr>
          <w:rFonts w:hint="eastAsia" w:ascii="Times New Roman" w:hAnsi="Times New Roman" w:cs="Times New Roman"/>
          <w:color w:val="0070C0"/>
          <w:sz w:val="24"/>
          <w:szCs w:val="24"/>
          <w:lang w:val="en-US" w:eastAsia="zh-CN"/>
        </w:rPr>
        <w:t>4</w:t>
      </w:r>
      <w:r>
        <w:rPr>
          <w:rFonts w:ascii="Times New Roman" w:hAnsi="Times New Roman" w:cs="Times New Roman"/>
          <w:color w:val="0070C0"/>
          <w:sz w:val="24"/>
          <w:szCs w:val="24"/>
        </w:rPr>
        <w:t>年</w:t>
      </w:r>
      <w:r>
        <w:rPr>
          <w:rFonts w:hint="eastAsia" w:ascii="Times New Roman" w:hAnsi="Times New Roman" w:cs="Times New Roman"/>
          <w:color w:val="0070C0"/>
          <w:sz w:val="24"/>
          <w:szCs w:val="24"/>
        </w:rPr>
        <w:t>1</w:t>
      </w:r>
      <w:r>
        <w:rPr>
          <w:rFonts w:ascii="Times New Roman" w:hAnsi="Times New Roman" w:cs="Times New Roman"/>
          <w:color w:val="0070C0"/>
          <w:sz w:val="24"/>
          <w:szCs w:val="24"/>
        </w:rPr>
        <w:t>月</w:t>
      </w:r>
      <w:r>
        <w:rPr>
          <w:rFonts w:hint="eastAsia" w:ascii="Times New Roman" w:hAnsi="Times New Roman" w:cs="Times New Roman"/>
          <w:color w:val="0070C0"/>
          <w:sz w:val="24"/>
          <w:szCs w:val="24"/>
          <w:lang w:val="en-US" w:eastAsia="zh-CN"/>
        </w:rPr>
        <w:t>15</w:t>
      </w:r>
      <w:r>
        <w:rPr>
          <w:rFonts w:ascii="Times New Roman" w:hAnsi="Times New Roman" w:cs="Times New Roman"/>
          <w:color w:val="0070C0"/>
          <w:sz w:val="24"/>
          <w:szCs w:val="24"/>
        </w:rPr>
        <w:t>日</w:t>
      </w:r>
      <w:r>
        <w:rPr>
          <w:rFonts w:ascii="Times New Roman" w:hAnsi="Times New Roman" w:eastAsia="宋体" w:cs="Times New Roman"/>
          <w:color w:val="0070C0"/>
          <w:sz w:val="24"/>
          <w:szCs w:val="24"/>
        </w:rPr>
        <w:t>（</w:t>
      </w:r>
      <w:r>
        <w:rPr>
          <w:rFonts w:hint="eastAsia" w:ascii="Times New Roman" w:hAnsi="Times New Roman" w:eastAsia="宋体" w:cs="Times New Roman"/>
          <w:color w:val="0070C0"/>
          <w:sz w:val="24"/>
          <w:szCs w:val="24"/>
          <w:lang w:val="en-US" w:eastAsia="zh-CN"/>
        </w:rPr>
        <w:t>5</w:t>
      </w:r>
      <w:r>
        <w:rPr>
          <w:rFonts w:ascii="Times New Roman" w:hAnsi="Times New Roman" w:eastAsia="宋体" w:cs="Times New Roman"/>
          <w:color w:val="0070C0"/>
          <w:sz w:val="24"/>
          <w:szCs w:val="24"/>
        </w:rPr>
        <w:t>个工作日）。</w:t>
      </w:r>
    </w:p>
    <w:p>
      <w:pPr>
        <w:keepNext w:val="0"/>
        <w:keepLines w:val="0"/>
        <w:pageBreakBefore w:val="0"/>
        <w:widowControl w:val="0"/>
        <w:kinsoku/>
        <w:wordWrap/>
        <w:overflowPunct/>
        <w:topLinePunct w:val="0"/>
        <w:autoSpaceDE/>
        <w:autoSpaceDN/>
        <w:bidi w:val="0"/>
        <w:adjustRightInd/>
        <w:snapToGrid/>
        <w:spacing w:after="313" w:afterLines="100" w:line="360" w:lineRule="auto"/>
        <w:ind w:right="0" w:rightChars="0"/>
        <w:jc w:val="both"/>
        <w:textAlignment w:val="auto"/>
        <w:outlineLvl w:val="9"/>
        <w:rPr>
          <w:rFonts w:hint="default" w:ascii="Times New Roman" w:hAnsi="Times New Roman" w:eastAsia="宋体" w:cs="Times New Roman"/>
          <w:color w:val="0070C0"/>
          <w:sz w:val="24"/>
          <w:szCs w:val="24"/>
          <w:lang w:val="en-US" w:eastAsia="zh-CN"/>
        </w:rPr>
      </w:pPr>
      <w:r>
        <w:rPr>
          <w:rFonts w:ascii="Times New Roman" w:hAnsi="Times New Roman" w:eastAsia="宋体" w:cs="Times New Roman"/>
          <w:color w:val="0070C0"/>
          <w:sz w:val="24"/>
          <w:szCs w:val="24"/>
        </w:rPr>
        <w:t>电话：0394-</w:t>
      </w:r>
      <w:r>
        <w:rPr>
          <w:rFonts w:hint="eastAsia" w:ascii="Times New Roman" w:hAnsi="Times New Roman" w:eastAsia="宋体" w:cs="Times New Roman"/>
          <w:color w:val="0070C0"/>
          <w:sz w:val="24"/>
          <w:szCs w:val="24"/>
          <w:lang w:val="en-US" w:eastAsia="zh-CN"/>
        </w:rPr>
        <w:t>2657168</w:t>
      </w:r>
      <w:r>
        <w:rPr>
          <w:rFonts w:ascii="Times New Roman" w:hAnsi="Times New Roman" w:eastAsia="宋体" w:cs="Times New Roman"/>
          <w:color w:val="0070C0"/>
          <w:sz w:val="24"/>
          <w:szCs w:val="24"/>
        </w:rPr>
        <w:t xml:space="preserve"> </w:t>
      </w:r>
      <w:r>
        <w:rPr>
          <w:rFonts w:hint="eastAsia" w:ascii="Times New Roman" w:hAnsi="Times New Roman" w:eastAsia="宋体" w:cs="Times New Roman"/>
          <w:color w:val="0070C0"/>
          <w:sz w:val="24"/>
          <w:szCs w:val="24"/>
          <w:lang w:val="en-US" w:eastAsia="zh-CN"/>
        </w:rPr>
        <w:t xml:space="preserve"> 2700026</w:t>
      </w:r>
    </w:p>
    <w:p>
      <w:pPr>
        <w:spacing w:after="312"/>
        <w:jc w:val="left"/>
        <w:rPr>
          <w:rFonts w:hint="eastAsia" w:ascii="Times New Roman" w:hAnsi="Times New Roman" w:eastAsia="宋体" w:cs="Times New Roman"/>
          <w:color w:val="0070C0"/>
          <w:sz w:val="24"/>
          <w:szCs w:val="24"/>
        </w:rPr>
      </w:pPr>
      <w:r>
        <w:rPr>
          <w:rFonts w:ascii="Times New Roman" w:hAnsi="Times New Roman" w:eastAsia="宋体" w:cs="Times New Roman"/>
          <w:color w:val="0070C0"/>
          <w:sz w:val="24"/>
          <w:szCs w:val="24"/>
        </w:rPr>
        <w:t>通讯地址：</w:t>
      </w:r>
      <w:r>
        <w:rPr>
          <w:rFonts w:hint="eastAsia" w:ascii="Times New Roman" w:hAnsi="Times New Roman" w:eastAsia="宋体" w:cs="Times New Roman"/>
          <w:color w:val="0070C0"/>
          <w:sz w:val="24"/>
          <w:szCs w:val="24"/>
        </w:rPr>
        <w:t>淮阳市民中心二楼北面生态环境局窗口</w:t>
      </w:r>
    </w:p>
    <w:p>
      <w:pPr>
        <w:spacing w:after="312"/>
        <w:jc w:val="left"/>
        <w:rPr>
          <w:rFonts w:ascii="Times New Roman" w:hAnsi="Times New Roman" w:eastAsia="宋体" w:cs="Times New Roman"/>
          <w:color w:val="0070C0"/>
          <w:sz w:val="24"/>
          <w:szCs w:val="24"/>
        </w:rPr>
      </w:pPr>
      <w:r>
        <w:rPr>
          <w:rFonts w:ascii="Times New Roman" w:hAnsi="Times New Roman" w:eastAsia="宋体" w:cs="Times New Roman"/>
          <w:color w:val="0070C0"/>
          <w:sz w:val="24"/>
          <w:szCs w:val="24"/>
        </w:rPr>
        <w:t>邮编：466700</w:t>
      </w:r>
    </w:p>
    <w:p>
      <w:pPr>
        <w:pStyle w:val="12"/>
        <w:widowControl/>
        <w:spacing w:before="0" w:beforeAutospacing="0" w:after="312" w:afterAutospacing="0" w:line="400" w:lineRule="exact"/>
        <w:rPr>
          <w:rFonts w:ascii="Times New Roman" w:hAnsi="Times New Roman" w:eastAsia="宋体"/>
          <w:color w:val="auto"/>
          <w:spacing w:val="15"/>
          <w:szCs w:val="24"/>
        </w:rPr>
      </w:pPr>
      <w:r>
        <w:rPr>
          <w:rFonts w:ascii="Times New Roman" w:hAnsi="Times New Roman" w:eastAsia="宋体"/>
          <w:color w:val="0070C0"/>
          <w:spacing w:val="15"/>
          <w:szCs w:val="24"/>
        </w:rPr>
        <w:t>听证告知：依据《中华人民共和国行政许可法》，自公示起</w:t>
      </w:r>
      <w:r>
        <w:rPr>
          <w:rFonts w:hint="eastAsia" w:ascii="Times New Roman" w:hAnsi="Times New Roman" w:eastAsia="宋体"/>
          <w:color w:val="0070C0"/>
          <w:spacing w:val="15"/>
          <w:szCs w:val="24"/>
          <w:lang w:val="en-US" w:eastAsia="zh-CN"/>
        </w:rPr>
        <w:t>5</w:t>
      </w:r>
      <w:r>
        <w:rPr>
          <w:rFonts w:ascii="Times New Roman" w:hAnsi="Times New Roman" w:eastAsia="宋体"/>
          <w:color w:val="0070C0"/>
          <w:spacing w:val="15"/>
          <w:szCs w:val="24"/>
        </w:rPr>
        <w:t>个工作日内申请人、有重大利益关系的利害关系人可对以下拟作出的建设项目环境影响评价文件批复决定要求听证。</w:t>
      </w:r>
    </w:p>
    <w:p>
      <w:pPr>
        <w:pStyle w:val="12"/>
        <w:widowControl/>
        <w:spacing w:before="0" w:beforeAutospacing="0" w:after="312" w:afterAutospacing="0" w:line="400" w:lineRule="exact"/>
        <w:ind w:firstLine="1350" w:firstLineChars="500"/>
        <w:rPr>
          <w:rFonts w:ascii="Times New Roman" w:hAnsi="Times New Roman" w:eastAsia="宋体"/>
          <w:color w:val="0070C0"/>
          <w:spacing w:val="15"/>
          <w:szCs w:val="24"/>
        </w:rPr>
      </w:pPr>
      <w:r>
        <w:rPr>
          <w:rFonts w:hint="eastAsia" w:ascii="Times New Roman" w:hAnsi="Times New Roman" w:eastAsia="宋体"/>
          <w:color w:val="0070C0"/>
          <w:spacing w:val="15"/>
          <w:szCs w:val="24"/>
          <w:lang w:eastAsia="zh-CN"/>
        </w:rPr>
        <w:t>受理</w:t>
      </w:r>
      <w:r>
        <w:rPr>
          <w:rFonts w:hint="eastAsia" w:ascii="Times New Roman" w:hAnsi="Times New Roman" w:eastAsia="宋体"/>
          <w:color w:val="0070C0"/>
          <w:spacing w:val="15"/>
          <w:szCs w:val="24"/>
        </w:rPr>
        <w:t>拟审批的建设项目环境影响报告表</w:t>
      </w:r>
    </w:p>
    <w:tbl>
      <w:tblPr>
        <w:tblStyle w:val="14"/>
        <w:tblpPr w:leftFromText="180" w:rightFromText="180" w:vertAnchor="text" w:horzAnchor="page" w:tblpXSpec="center" w:tblpY="256"/>
        <w:tblOverlap w:val="never"/>
        <w:tblW w:w="9374"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
        <w:gridCol w:w="912"/>
        <w:gridCol w:w="824"/>
        <w:gridCol w:w="824"/>
        <w:gridCol w:w="1220"/>
        <w:gridCol w:w="865"/>
        <w:gridCol w:w="3529"/>
        <w:gridCol w:w="8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jc w:val="center"/>
        </w:trPr>
        <w:tc>
          <w:tcPr>
            <w:tcW w:w="365" w:type="dxa"/>
            <w:vAlign w:val="center"/>
          </w:tcPr>
          <w:p>
            <w:pPr>
              <w:spacing w:afterLines="0"/>
              <w:jc w:val="center"/>
              <w:rPr>
                <w:rFonts w:ascii="Times New Roman" w:hAnsi="Times New Roman" w:eastAsia="宋体" w:cs="Times New Roman"/>
                <w:color w:val="0070C0"/>
                <w:szCs w:val="21"/>
              </w:rPr>
            </w:pPr>
            <w:r>
              <w:rPr>
                <w:rFonts w:ascii="Times New Roman" w:hAnsi="Times New Roman" w:eastAsia="宋体" w:cs="Times New Roman"/>
                <w:color w:val="0070C0"/>
                <w:szCs w:val="21"/>
              </w:rPr>
              <w:t>序号</w:t>
            </w:r>
          </w:p>
        </w:tc>
        <w:tc>
          <w:tcPr>
            <w:tcW w:w="912" w:type="dxa"/>
            <w:vAlign w:val="center"/>
          </w:tcPr>
          <w:p>
            <w:pPr>
              <w:spacing w:afterLines="0"/>
              <w:jc w:val="center"/>
              <w:rPr>
                <w:rFonts w:ascii="Times New Roman" w:hAnsi="Times New Roman" w:eastAsia="宋体" w:cs="Times New Roman"/>
                <w:color w:val="0070C0"/>
                <w:szCs w:val="21"/>
              </w:rPr>
            </w:pPr>
            <w:r>
              <w:rPr>
                <w:rFonts w:ascii="Times New Roman" w:hAnsi="Times New Roman" w:eastAsia="宋体" w:cs="Times New Roman"/>
                <w:color w:val="0070C0"/>
                <w:szCs w:val="21"/>
              </w:rPr>
              <w:t>项目名称</w:t>
            </w:r>
          </w:p>
        </w:tc>
        <w:tc>
          <w:tcPr>
            <w:tcW w:w="824" w:type="dxa"/>
            <w:vAlign w:val="center"/>
          </w:tcPr>
          <w:p>
            <w:pPr>
              <w:spacing w:afterLines="0"/>
              <w:jc w:val="center"/>
              <w:rPr>
                <w:rFonts w:ascii="Times New Roman" w:hAnsi="Times New Roman" w:eastAsia="宋体" w:cs="Times New Roman"/>
                <w:color w:val="0070C0"/>
                <w:szCs w:val="21"/>
              </w:rPr>
            </w:pPr>
            <w:r>
              <w:rPr>
                <w:rFonts w:ascii="Times New Roman" w:hAnsi="Times New Roman" w:eastAsia="宋体" w:cs="Times New Roman"/>
                <w:color w:val="0070C0"/>
                <w:szCs w:val="21"/>
              </w:rPr>
              <w:t>建设地点</w:t>
            </w:r>
          </w:p>
        </w:tc>
        <w:tc>
          <w:tcPr>
            <w:tcW w:w="824" w:type="dxa"/>
            <w:vAlign w:val="center"/>
          </w:tcPr>
          <w:p>
            <w:pPr>
              <w:spacing w:afterLines="0"/>
              <w:jc w:val="center"/>
              <w:rPr>
                <w:rFonts w:ascii="Times New Roman" w:hAnsi="Times New Roman" w:eastAsia="宋体" w:cs="Times New Roman"/>
                <w:color w:val="0070C0"/>
                <w:szCs w:val="21"/>
              </w:rPr>
            </w:pPr>
            <w:r>
              <w:rPr>
                <w:rFonts w:ascii="Times New Roman" w:hAnsi="Times New Roman" w:eastAsia="宋体" w:cs="Times New Roman"/>
                <w:color w:val="0070C0"/>
                <w:szCs w:val="21"/>
              </w:rPr>
              <w:t>建设单位</w:t>
            </w:r>
          </w:p>
        </w:tc>
        <w:tc>
          <w:tcPr>
            <w:tcW w:w="1220" w:type="dxa"/>
            <w:vAlign w:val="center"/>
          </w:tcPr>
          <w:p>
            <w:pPr>
              <w:spacing w:afterLines="0"/>
              <w:jc w:val="center"/>
              <w:rPr>
                <w:rFonts w:ascii="Times New Roman" w:hAnsi="Times New Roman" w:eastAsia="宋体" w:cs="Times New Roman"/>
                <w:color w:val="0070C0"/>
                <w:szCs w:val="21"/>
              </w:rPr>
            </w:pPr>
            <w:r>
              <w:rPr>
                <w:rFonts w:ascii="Times New Roman" w:hAnsi="Times New Roman" w:eastAsia="宋体" w:cs="Times New Roman"/>
                <w:color w:val="0070C0"/>
                <w:szCs w:val="21"/>
              </w:rPr>
              <w:t>建设项目概况</w:t>
            </w:r>
          </w:p>
        </w:tc>
        <w:tc>
          <w:tcPr>
            <w:tcW w:w="865" w:type="dxa"/>
            <w:vAlign w:val="center"/>
          </w:tcPr>
          <w:p>
            <w:pPr>
              <w:spacing w:afterLines="0"/>
              <w:jc w:val="center"/>
              <w:rPr>
                <w:rFonts w:ascii="Times New Roman" w:hAnsi="Times New Roman" w:eastAsia="宋体" w:cs="Times New Roman"/>
                <w:color w:val="0070C0"/>
                <w:szCs w:val="21"/>
              </w:rPr>
            </w:pPr>
            <w:r>
              <w:rPr>
                <w:rFonts w:ascii="Times New Roman" w:hAnsi="Times New Roman" w:eastAsia="宋体" w:cs="Times New Roman"/>
                <w:color w:val="0070C0"/>
                <w:szCs w:val="21"/>
              </w:rPr>
              <w:t>环境影响评</w:t>
            </w:r>
          </w:p>
          <w:p>
            <w:pPr>
              <w:spacing w:afterLines="0"/>
              <w:jc w:val="center"/>
              <w:rPr>
                <w:rFonts w:ascii="Times New Roman" w:hAnsi="Times New Roman" w:eastAsia="宋体" w:cs="Times New Roman"/>
                <w:color w:val="0070C0"/>
                <w:szCs w:val="21"/>
              </w:rPr>
            </w:pPr>
            <w:r>
              <w:rPr>
                <w:rFonts w:ascii="Times New Roman" w:hAnsi="Times New Roman" w:eastAsia="宋体" w:cs="Times New Roman"/>
                <w:color w:val="0070C0"/>
                <w:szCs w:val="21"/>
              </w:rPr>
              <w:t>价机构</w:t>
            </w:r>
          </w:p>
        </w:tc>
        <w:tc>
          <w:tcPr>
            <w:tcW w:w="3529" w:type="dxa"/>
            <w:vAlign w:val="center"/>
          </w:tcPr>
          <w:p>
            <w:pPr>
              <w:spacing w:afterLines="0"/>
              <w:jc w:val="center"/>
              <w:rPr>
                <w:rFonts w:ascii="Times New Roman" w:hAnsi="Times New Roman" w:eastAsia="宋体" w:cs="Times New Roman"/>
                <w:color w:val="0070C0"/>
                <w:szCs w:val="21"/>
              </w:rPr>
            </w:pPr>
            <w:r>
              <w:rPr>
                <w:rFonts w:ascii="Times New Roman" w:hAnsi="Times New Roman" w:eastAsia="宋体" w:cs="Times New Roman"/>
                <w:color w:val="0070C0"/>
                <w:szCs w:val="21"/>
              </w:rPr>
              <w:t>主要环境影响及预防或减轻不良环境影响的对策和措施</w:t>
            </w:r>
          </w:p>
        </w:tc>
        <w:tc>
          <w:tcPr>
            <w:tcW w:w="835" w:type="dxa"/>
            <w:vAlign w:val="center"/>
          </w:tcPr>
          <w:p>
            <w:pPr>
              <w:spacing w:afterLines="0"/>
              <w:jc w:val="center"/>
              <w:rPr>
                <w:rFonts w:ascii="Times New Roman" w:hAnsi="Times New Roman" w:eastAsia="宋体" w:cs="Times New Roman"/>
                <w:color w:val="0070C0"/>
                <w:szCs w:val="21"/>
              </w:rPr>
            </w:pPr>
            <w:r>
              <w:rPr>
                <w:rFonts w:ascii="Times New Roman" w:hAnsi="Times New Roman" w:eastAsia="宋体" w:cs="Times New Roman"/>
                <w:color w:val="0070C0"/>
                <w:szCs w:val="21"/>
              </w:rPr>
              <w:t>公众参与情况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833" w:hRule="atLeast"/>
          <w:jc w:val="center"/>
        </w:trPr>
        <w:tc>
          <w:tcPr>
            <w:tcW w:w="365" w:type="dxa"/>
            <w:vAlign w:val="center"/>
          </w:tcPr>
          <w:p>
            <w:pPr>
              <w:spacing w:afterLines="0"/>
              <w:jc w:val="center"/>
              <w:rPr>
                <w:rFonts w:hint="eastAsia" w:ascii="Times New Roman" w:hAnsi="Times New Roman" w:eastAsia="宋体" w:cs="Times New Roman"/>
                <w:color w:val="0070C0"/>
                <w:szCs w:val="21"/>
                <w:lang w:val="en-US" w:eastAsia="zh-CN"/>
              </w:rPr>
            </w:pPr>
            <w:r>
              <w:rPr>
                <w:rFonts w:hint="eastAsia" w:ascii="Times New Roman" w:hAnsi="Times New Roman" w:eastAsia="宋体" w:cs="Times New Roman"/>
                <w:color w:val="0070C0"/>
                <w:szCs w:val="21"/>
                <w:lang w:val="en-US" w:eastAsia="zh-CN"/>
              </w:rPr>
              <w:t>1</w:t>
            </w:r>
          </w:p>
        </w:tc>
        <w:tc>
          <w:tcPr>
            <w:tcW w:w="912" w:type="dxa"/>
            <w:vAlign w:val="center"/>
          </w:tcPr>
          <w:p>
            <w:pPr>
              <w:spacing w:afterLines="0"/>
              <w:jc w:val="center"/>
              <w:rPr>
                <w:rFonts w:ascii="Times New Roman" w:hAnsi="Times New Roman" w:eastAsia="宋体" w:cs="Times New Roman"/>
                <w:color w:val="0070C0"/>
                <w:szCs w:val="21"/>
              </w:rPr>
            </w:pPr>
            <w:r>
              <w:rPr>
                <w:rFonts w:hint="default" w:ascii="Times New Roman" w:hAnsi="Times New Roman" w:eastAsia="宋体" w:cs="Times New Roman"/>
                <w:color w:val="4F81BD"/>
                <w:spacing w:val="15"/>
                <w:kern w:val="0"/>
                <w:sz w:val="21"/>
                <w:szCs w:val="21"/>
                <w:u w:val="none"/>
                <w:lang w:val="en-US" w:eastAsia="zh-CN" w:bidi="ar"/>
              </w:rPr>
              <w:t>淮阳区康增塑料制品厂年产30万个水果筐建设项目</w:t>
            </w:r>
          </w:p>
        </w:tc>
        <w:tc>
          <w:tcPr>
            <w:tcW w:w="824" w:type="dxa"/>
            <w:vAlign w:val="center"/>
          </w:tcPr>
          <w:p>
            <w:pPr>
              <w:spacing w:afterLines="0"/>
              <w:jc w:val="center"/>
              <w:rPr>
                <w:rFonts w:ascii="Times New Roman" w:hAnsi="Times New Roman" w:eastAsia="宋体" w:cs="Times New Roman"/>
                <w:color w:val="0070C0"/>
                <w:szCs w:val="21"/>
              </w:rPr>
            </w:pPr>
            <w:r>
              <w:rPr>
                <w:rFonts w:hint="default" w:ascii="Times New Roman" w:hAnsi="Times New Roman" w:eastAsia="宋体" w:cs="Times New Roman"/>
                <w:color w:val="4F81BD"/>
                <w:spacing w:val="15"/>
                <w:kern w:val="0"/>
                <w:sz w:val="21"/>
                <w:szCs w:val="21"/>
                <w:u w:val="none"/>
                <w:lang w:val="en-US" w:eastAsia="zh-CN" w:bidi="ar"/>
              </w:rPr>
              <w:t>周口市淮阳</w:t>
            </w:r>
            <w:r>
              <w:rPr>
                <w:rFonts w:hint="eastAsia" w:ascii="Times New Roman" w:hAnsi="Times New Roman" w:eastAsia="宋体" w:cs="Times New Roman"/>
                <w:color w:val="4F81BD"/>
                <w:spacing w:val="15"/>
                <w:kern w:val="0"/>
                <w:sz w:val="21"/>
                <w:szCs w:val="21"/>
                <w:u w:val="none"/>
                <w:lang w:val="en-US" w:eastAsia="zh-CN" w:bidi="ar"/>
              </w:rPr>
              <w:t>区</w:t>
            </w:r>
            <w:r>
              <w:rPr>
                <w:rFonts w:hint="default" w:ascii="Times New Roman" w:hAnsi="Times New Roman" w:eastAsia="宋体" w:cs="Times New Roman"/>
                <w:color w:val="4F81BD"/>
                <w:spacing w:val="15"/>
                <w:kern w:val="0"/>
                <w:sz w:val="21"/>
                <w:szCs w:val="21"/>
                <w:u w:val="none"/>
                <w:lang w:val="en-US" w:eastAsia="zh-CN" w:bidi="ar"/>
              </w:rPr>
              <w:t>四通镇红绿灯西311国道北工业园区26号</w:t>
            </w:r>
          </w:p>
        </w:tc>
        <w:tc>
          <w:tcPr>
            <w:tcW w:w="824" w:type="dxa"/>
            <w:vAlign w:val="center"/>
          </w:tcPr>
          <w:p>
            <w:pPr>
              <w:spacing w:afterLines="0"/>
              <w:jc w:val="center"/>
              <w:rPr>
                <w:rFonts w:ascii="Times New Roman" w:hAnsi="Times New Roman" w:eastAsia="宋体" w:cs="Times New Roman"/>
                <w:color w:val="0070C0"/>
                <w:szCs w:val="21"/>
              </w:rPr>
            </w:pPr>
            <w:r>
              <w:rPr>
                <w:rFonts w:hint="default" w:ascii="Times New Roman" w:hAnsi="Times New Roman" w:eastAsia="宋体" w:cs="Times New Roman"/>
                <w:color w:val="4F81BD"/>
                <w:spacing w:val="15"/>
                <w:kern w:val="0"/>
                <w:sz w:val="21"/>
                <w:szCs w:val="21"/>
                <w:u w:val="none"/>
                <w:lang w:val="en-US" w:eastAsia="zh-CN" w:bidi="ar"/>
              </w:rPr>
              <w:t>周口市淮阳区康增塑料制品厂</w:t>
            </w:r>
          </w:p>
        </w:tc>
        <w:tc>
          <w:tcPr>
            <w:tcW w:w="1220" w:type="dxa"/>
            <w:vAlign w:val="center"/>
          </w:tcPr>
          <w:p>
            <w:pPr>
              <w:spacing w:afterLines="0"/>
              <w:rPr>
                <w:rFonts w:ascii="Times New Roman" w:hAnsi="Times New Roman" w:eastAsia="宋体" w:cs="Times New Roman"/>
                <w:color w:val="0070C0"/>
                <w:szCs w:val="21"/>
              </w:rPr>
            </w:pPr>
            <w:r>
              <w:rPr>
                <w:rFonts w:hint="default" w:ascii="Times New Roman" w:hAnsi="Times New Roman" w:eastAsia="宋体" w:cs="Times New Roman"/>
                <w:color w:val="4F81BD"/>
                <w:spacing w:val="15"/>
                <w:kern w:val="0"/>
                <w:sz w:val="21"/>
                <w:szCs w:val="21"/>
                <w:u w:val="none"/>
                <w:lang w:val="en-US" w:eastAsia="zh-CN" w:bidi="ar"/>
              </w:rPr>
              <w:t>项目总投资50万元，占地1800m</w:t>
            </w:r>
            <w:r>
              <w:rPr>
                <w:rFonts w:hint="default" w:ascii="Times New Roman" w:hAnsi="Times New Roman" w:eastAsia="宋体" w:cs="Times New Roman"/>
                <w:color w:val="4F81BD"/>
                <w:spacing w:val="15"/>
                <w:kern w:val="0"/>
                <w:sz w:val="21"/>
                <w:szCs w:val="21"/>
                <w:u w:val="none"/>
                <w:vertAlign w:val="superscript"/>
                <w:lang w:val="en-US" w:eastAsia="zh-CN" w:bidi="ar"/>
              </w:rPr>
              <w:t>2</w:t>
            </w:r>
            <w:r>
              <w:rPr>
                <w:rFonts w:hint="default" w:ascii="Times New Roman" w:hAnsi="Times New Roman" w:eastAsia="宋体" w:cs="Times New Roman"/>
                <w:color w:val="4F81BD"/>
                <w:spacing w:val="15"/>
                <w:kern w:val="0"/>
                <w:sz w:val="21"/>
                <w:szCs w:val="21"/>
                <w:u w:val="none"/>
                <w:lang w:val="en-US" w:eastAsia="zh-CN" w:bidi="ar"/>
              </w:rPr>
              <w:t>，建筑面积1200m</w:t>
            </w:r>
            <w:r>
              <w:rPr>
                <w:rFonts w:hint="default" w:ascii="Times New Roman" w:hAnsi="Times New Roman" w:eastAsia="宋体" w:cs="Times New Roman"/>
                <w:color w:val="4F81BD"/>
                <w:spacing w:val="15"/>
                <w:kern w:val="0"/>
                <w:sz w:val="21"/>
                <w:szCs w:val="21"/>
                <w:u w:val="none"/>
                <w:vertAlign w:val="superscript"/>
                <w:lang w:val="en-US" w:eastAsia="zh-CN" w:bidi="ar"/>
              </w:rPr>
              <w:t>2</w:t>
            </w:r>
            <w:r>
              <w:rPr>
                <w:rFonts w:hint="default" w:ascii="Times New Roman" w:hAnsi="Times New Roman" w:eastAsia="宋体" w:cs="Times New Roman"/>
                <w:color w:val="4F81BD"/>
                <w:spacing w:val="15"/>
                <w:kern w:val="0"/>
                <w:sz w:val="21"/>
                <w:szCs w:val="21"/>
                <w:u w:val="none"/>
                <w:lang w:val="en-US" w:eastAsia="zh-CN" w:bidi="ar"/>
              </w:rPr>
              <w:t>，租赁现有厂房及办公室，厂房主要包括生产区、原料区、成品区和破碎区，建成后可年加工30万个水果筐</w:t>
            </w:r>
          </w:p>
        </w:tc>
        <w:tc>
          <w:tcPr>
            <w:tcW w:w="865" w:type="dxa"/>
            <w:vAlign w:val="center"/>
          </w:tcPr>
          <w:p>
            <w:pPr>
              <w:spacing w:afterLines="0"/>
              <w:rPr>
                <w:rFonts w:hint="eastAsia" w:ascii="Times New Roman" w:hAnsi="Times New Roman" w:eastAsia="宋体" w:cs="Times New Roman"/>
                <w:color w:val="0070C0"/>
                <w:szCs w:val="21"/>
                <w:lang w:eastAsia="zh-CN"/>
              </w:rPr>
            </w:pPr>
            <w:r>
              <w:rPr>
                <w:rFonts w:hint="default" w:ascii="Times New Roman" w:hAnsi="Times New Roman" w:eastAsia="宋体" w:cs="Times New Roman"/>
                <w:color w:val="4F81BD"/>
                <w:spacing w:val="15"/>
                <w:kern w:val="0"/>
                <w:sz w:val="21"/>
                <w:szCs w:val="21"/>
                <w:u w:val="none"/>
                <w:lang w:val="en-US" w:eastAsia="zh-CN" w:bidi="ar"/>
              </w:rPr>
              <w:t>河南</w:t>
            </w:r>
            <w:r>
              <w:rPr>
                <w:rFonts w:hint="eastAsia" w:ascii="Times New Roman" w:hAnsi="Times New Roman" w:eastAsia="宋体" w:cs="Times New Roman"/>
                <w:color w:val="4F81BD"/>
                <w:spacing w:val="15"/>
                <w:kern w:val="0"/>
                <w:sz w:val="21"/>
                <w:szCs w:val="21"/>
                <w:u w:val="none"/>
                <w:lang w:val="en-US" w:eastAsia="zh-CN" w:bidi="ar"/>
              </w:rPr>
              <w:t>嘉源</w:t>
            </w:r>
            <w:r>
              <w:rPr>
                <w:rFonts w:hint="default" w:ascii="Times New Roman" w:hAnsi="Times New Roman" w:eastAsia="宋体" w:cs="Times New Roman"/>
                <w:color w:val="4F81BD"/>
                <w:spacing w:val="15"/>
                <w:kern w:val="0"/>
                <w:sz w:val="21"/>
                <w:szCs w:val="21"/>
                <w:u w:val="none"/>
                <w:lang w:val="en-US" w:eastAsia="zh-CN" w:bidi="ar"/>
              </w:rPr>
              <w:t>环保</w:t>
            </w:r>
            <w:r>
              <w:rPr>
                <w:rFonts w:hint="eastAsia" w:ascii="Times New Roman" w:hAnsi="Times New Roman" w:eastAsia="宋体" w:cs="Times New Roman"/>
                <w:color w:val="4F81BD"/>
                <w:spacing w:val="15"/>
                <w:kern w:val="0"/>
                <w:sz w:val="21"/>
                <w:szCs w:val="21"/>
                <w:u w:val="none"/>
                <w:lang w:val="en-US" w:eastAsia="zh-CN" w:bidi="ar"/>
              </w:rPr>
              <w:t>技术</w:t>
            </w:r>
            <w:r>
              <w:rPr>
                <w:rFonts w:hint="default" w:ascii="Times New Roman" w:hAnsi="Times New Roman" w:eastAsia="宋体" w:cs="Times New Roman"/>
                <w:color w:val="4F81BD"/>
                <w:spacing w:val="15"/>
                <w:kern w:val="0"/>
                <w:sz w:val="21"/>
                <w:szCs w:val="21"/>
                <w:u w:val="none"/>
                <w:lang w:val="en-US" w:eastAsia="zh-CN" w:bidi="ar"/>
              </w:rPr>
              <w:t>有限公司</w:t>
            </w:r>
          </w:p>
        </w:tc>
        <w:tc>
          <w:tcPr>
            <w:tcW w:w="3529" w:type="dxa"/>
            <w:vAlign w:val="center"/>
          </w:tcPr>
          <w:p>
            <w:pPr>
              <w:widowControl/>
              <w:spacing w:line="240" w:lineRule="auto"/>
              <w:jc w:val="both"/>
              <w:rPr>
                <w:rFonts w:hint="default" w:ascii="Times New Roman" w:hAnsi="Times New Roman" w:eastAsia="宋体" w:cs="Times New Roman"/>
                <w:color w:val="0070C0"/>
                <w:spacing w:val="15"/>
                <w:kern w:val="0"/>
                <w:sz w:val="21"/>
                <w:szCs w:val="21"/>
                <w:u w:val="none"/>
                <w:lang w:val="en-US" w:eastAsia="zh-CN" w:bidi="ar"/>
              </w:rPr>
            </w:pPr>
            <w:r>
              <w:rPr>
                <w:rFonts w:hint="default" w:ascii="Times New Roman" w:hAnsi="Times New Roman" w:eastAsia="宋体" w:cs="Times New Roman"/>
                <w:color w:val="0070C0"/>
                <w:spacing w:val="15"/>
                <w:kern w:val="0"/>
                <w:sz w:val="21"/>
                <w:szCs w:val="21"/>
                <w:u w:val="none"/>
                <w:lang w:val="en-US" w:eastAsia="zh-CN" w:bidi="ar"/>
              </w:rPr>
              <w:t>一、废水污染防治措施</w:t>
            </w:r>
          </w:p>
          <w:p>
            <w:pPr>
              <w:widowControl/>
              <w:spacing w:line="240" w:lineRule="auto"/>
              <w:ind w:firstLine="480" w:firstLineChars="200"/>
              <w:jc w:val="both"/>
              <w:rPr>
                <w:rFonts w:hint="default" w:ascii="Times New Roman" w:hAnsi="Times New Roman" w:eastAsia="宋体" w:cs="Times New Roman"/>
                <w:color w:val="4F81BD"/>
                <w:spacing w:val="15"/>
                <w:kern w:val="0"/>
                <w:sz w:val="21"/>
                <w:szCs w:val="21"/>
                <w:u w:val="none"/>
                <w:lang w:val="en-US" w:eastAsia="zh-CN" w:bidi="ar"/>
              </w:rPr>
            </w:pPr>
            <w:r>
              <w:rPr>
                <w:rFonts w:hint="default" w:ascii="Times New Roman" w:hAnsi="Times New Roman" w:eastAsia="宋体" w:cs="Times New Roman"/>
                <w:color w:val="4F81BD"/>
                <w:spacing w:val="15"/>
                <w:kern w:val="0"/>
                <w:sz w:val="21"/>
                <w:szCs w:val="21"/>
                <w:u w:val="none"/>
                <w:lang w:val="en-US" w:eastAsia="zh-CN" w:bidi="ar"/>
              </w:rPr>
              <w:t>项目营运期废水主要为循环冷却水和生活污水。循环冷却水循环使用不外排；生活污水经化粪池处理后定期清掏用于农田施肥。</w:t>
            </w:r>
          </w:p>
          <w:p>
            <w:pPr>
              <w:widowControl/>
              <w:spacing w:line="240" w:lineRule="auto"/>
              <w:ind w:firstLine="480" w:firstLineChars="200"/>
              <w:jc w:val="both"/>
              <w:rPr>
                <w:rFonts w:hint="default" w:ascii="Times New Roman" w:hAnsi="Times New Roman" w:eastAsia="宋体" w:cs="Times New Roman"/>
                <w:color w:val="0070C0"/>
                <w:spacing w:val="15"/>
                <w:kern w:val="0"/>
                <w:sz w:val="21"/>
                <w:szCs w:val="21"/>
                <w:u w:val="none"/>
                <w:lang w:val="en-US" w:eastAsia="zh-CN" w:bidi="ar"/>
              </w:rPr>
            </w:pPr>
            <w:r>
              <w:rPr>
                <w:rFonts w:hint="default" w:ascii="Times New Roman" w:hAnsi="Times New Roman" w:eastAsia="宋体" w:cs="Times New Roman"/>
                <w:color w:val="0070C0"/>
                <w:spacing w:val="15"/>
                <w:kern w:val="0"/>
                <w:sz w:val="21"/>
                <w:szCs w:val="21"/>
                <w:u w:val="none"/>
                <w:lang w:val="en-US" w:eastAsia="zh-CN" w:bidi="ar"/>
              </w:rPr>
              <w:t>二、废气污染防治措施</w:t>
            </w:r>
          </w:p>
          <w:p>
            <w:pPr>
              <w:widowControl/>
              <w:numPr>
                <w:ilvl w:val="0"/>
                <w:numId w:val="0"/>
              </w:numPr>
              <w:spacing w:line="240" w:lineRule="auto"/>
              <w:ind w:firstLine="480" w:firstLineChars="200"/>
              <w:jc w:val="both"/>
              <w:rPr>
                <w:rFonts w:hint="default" w:ascii="Times New Roman" w:hAnsi="Times New Roman" w:eastAsia="宋体" w:cs="Times New Roman"/>
                <w:color w:val="0070C0"/>
                <w:spacing w:val="15"/>
                <w:kern w:val="0"/>
                <w:sz w:val="21"/>
                <w:szCs w:val="21"/>
                <w:u w:val="none"/>
                <w:lang w:val="en-US" w:eastAsia="zh-CN" w:bidi="ar"/>
              </w:rPr>
            </w:pPr>
            <w:r>
              <w:rPr>
                <w:rFonts w:hint="default" w:ascii="Times New Roman" w:hAnsi="Times New Roman" w:eastAsia="宋体" w:cs="Times New Roman"/>
                <w:color w:val="0070C0"/>
                <w:spacing w:val="15"/>
                <w:kern w:val="0"/>
                <w:sz w:val="21"/>
                <w:szCs w:val="21"/>
                <w:u w:val="none"/>
                <w:lang w:val="en-US" w:eastAsia="zh-CN" w:bidi="ar"/>
              </w:rPr>
              <w:t>项目营运期废气主要为注塑工序产生的非甲烷总烃，破碎工序产生的颗粒物。注塑工序产生的非甲烷总烃经UV光氧催化+活性炭吸附处理后，由1根15m高排气筒（DA001）排放，满足《合成树脂工业污染物排放标准》（GB31572-2015）中大气污染物特别排放限值要求、《关于全省开展工业企业挥发性有机物专项治理工作中排放建议值的通知》（豫环攻坚办[2017]162号）排放建议值；破碎工序产生的颗粒物经袋式除尘器处理后，由1根15m高排气筒（DA002）排放，满足《合成树脂工业污染物排放标准》（GB31572-2015）中大气污染物特别排放限值要求。</w:t>
            </w:r>
          </w:p>
          <w:p>
            <w:pPr>
              <w:widowControl/>
              <w:numPr>
                <w:ilvl w:val="0"/>
                <w:numId w:val="0"/>
              </w:numPr>
              <w:spacing w:line="240" w:lineRule="auto"/>
              <w:ind w:firstLine="480" w:firstLineChars="200"/>
              <w:jc w:val="both"/>
              <w:rPr>
                <w:rFonts w:hint="default" w:ascii="Times New Roman" w:hAnsi="Times New Roman" w:eastAsia="宋体" w:cs="Times New Roman"/>
                <w:color w:val="0070C0"/>
                <w:spacing w:val="15"/>
                <w:kern w:val="0"/>
                <w:sz w:val="21"/>
                <w:szCs w:val="21"/>
                <w:u w:val="none"/>
                <w:lang w:val="en-US" w:eastAsia="zh-CN" w:bidi="ar"/>
              </w:rPr>
            </w:pPr>
            <w:r>
              <w:rPr>
                <w:rFonts w:hint="eastAsia" w:ascii="Times New Roman" w:hAnsi="Times New Roman" w:eastAsia="宋体" w:cs="Times New Roman"/>
                <w:color w:val="0070C0"/>
                <w:spacing w:val="15"/>
                <w:kern w:val="0"/>
                <w:sz w:val="21"/>
                <w:szCs w:val="21"/>
                <w:u w:val="none"/>
                <w:lang w:val="en-US" w:eastAsia="zh-CN" w:bidi="ar"/>
              </w:rPr>
              <w:t>三、</w:t>
            </w:r>
            <w:r>
              <w:rPr>
                <w:rFonts w:hint="default" w:ascii="Times New Roman" w:hAnsi="Times New Roman" w:eastAsia="宋体" w:cs="Times New Roman"/>
                <w:color w:val="0070C0"/>
                <w:spacing w:val="15"/>
                <w:kern w:val="0"/>
                <w:sz w:val="21"/>
                <w:szCs w:val="21"/>
                <w:u w:val="none"/>
                <w:lang w:val="en-US" w:eastAsia="zh-CN" w:bidi="ar"/>
              </w:rPr>
              <w:t>噪声污染防治措施</w:t>
            </w:r>
          </w:p>
          <w:p>
            <w:pPr>
              <w:widowControl/>
              <w:spacing w:line="240" w:lineRule="auto"/>
              <w:ind w:firstLine="480" w:firstLineChars="200"/>
              <w:jc w:val="both"/>
              <w:rPr>
                <w:rFonts w:hint="default" w:ascii="Times New Roman" w:hAnsi="Times New Roman" w:eastAsia="宋体" w:cs="Times New Roman"/>
                <w:color w:val="4F81BD"/>
                <w:spacing w:val="15"/>
                <w:kern w:val="0"/>
                <w:sz w:val="21"/>
                <w:szCs w:val="21"/>
                <w:u w:val="none"/>
                <w:lang w:val="en-US" w:eastAsia="zh-CN" w:bidi="ar"/>
              </w:rPr>
            </w:pPr>
            <w:r>
              <w:rPr>
                <w:rFonts w:hint="default" w:ascii="Times New Roman" w:hAnsi="Times New Roman" w:eastAsia="宋体" w:cs="Times New Roman"/>
                <w:color w:val="4F81BD"/>
                <w:spacing w:val="15"/>
                <w:kern w:val="0"/>
                <w:sz w:val="21"/>
                <w:szCs w:val="21"/>
                <w:u w:val="none"/>
                <w:lang w:val="en-US" w:eastAsia="zh-CN" w:bidi="ar"/>
              </w:rPr>
              <w:t>项目营运期噪声主要来源于注塑机、破碎机、环保设施风机等设备噪声，声源值在70-</w:t>
            </w:r>
            <w:r>
              <w:rPr>
                <w:rFonts w:hint="eastAsia" w:ascii="Times New Roman" w:hAnsi="Times New Roman" w:eastAsia="宋体" w:cs="Times New Roman"/>
                <w:color w:val="4F81BD"/>
                <w:spacing w:val="15"/>
                <w:kern w:val="0"/>
                <w:sz w:val="21"/>
                <w:szCs w:val="21"/>
                <w:u w:val="none"/>
                <w:lang w:val="en-US" w:eastAsia="zh-CN" w:bidi="ar"/>
              </w:rPr>
              <w:t>90</w:t>
            </w:r>
            <w:r>
              <w:rPr>
                <w:rFonts w:hint="default" w:ascii="Times New Roman" w:hAnsi="Times New Roman" w:eastAsia="宋体" w:cs="Times New Roman"/>
                <w:color w:val="4F81BD"/>
                <w:spacing w:val="15"/>
                <w:kern w:val="0"/>
                <w:sz w:val="21"/>
                <w:szCs w:val="21"/>
                <w:u w:val="none"/>
                <w:lang w:val="en-US" w:eastAsia="zh-CN" w:bidi="ar"/>
              </w:rPr>
              <w:t>dB（A），在经过基础减震、厂房阻隔、距离衰减后，项目各厂界噪声贡献值均满足GB12348-2008《工业企业厂界环境噪声排放标准》</w:t>
            </w:r>
            <w:r>
              <w:rPr>
                <w:rFonts w:hint="eastAsia" w:ascii="Times New Roman" w:hAnsi="Times New Roman" w:eastAsia="宋体" w:cs="Times New Roman"/>
                <w:color w:val="4F81BD"/>
                <w:spacing w:val="15"/>
                <w:kern w:val="0"/>
                <w:sz w:val="21"/>
                <w:szCs w:val="21"/>
                <w:u w:val="none"/>
                <w:lang w:val="en-US" w:eastAsia="zh-CN" w:bidi="ar"/>
              </w:rPr>
              <w:t>2</w:t>
            </w:r>
            <w:r>
              <w:rPr>
                <w:rFonts w:hint="default" w:ascii="Times New Roman" w:hAnsi="Times New Roman" w:eastAsia="宋体" w:cs="Times New Roman"/>
                <w:color w:val="4F81BD"/>
                <w:spacing w:val="15"/>
                <w:kern w:val="0"/>
                <w:sz w:val="21"/>
                <w:szCs w:val="21"/>
                <w:u w:val="none"/>
                <w:lang w:val="en-US" w:eastAsia="zh-CN" w:bidi="ar"/>
              </w:rPr>
              <w:t>类标准，实现达标排放。</w:t>
            </w:r>
          </w:p>
          <w:p>
            <w:pPr>
              <w:widowControl/>
              <w:spacing w:line="240" w:lineRule="auto"/>
              <w:ind w:firstLine="480" w:firstLineChars="200"/>
              <w:jc w:val="both"/>
              <w:rPr>
                <w:rFonts w:hint="default" w:ascii="Times New Roman" w:hAnsi="Times New Roman" w:eastAsia="宋体" w:cs="Times New Roman"/>
                <w:color w:val="0070C0"/>
                <w:spacing w:val="15"/>
                <w:kern w:val="0"/>
                <w:sz w:val="21"/>
                <w:szCs w:val="21"/>
                <w:u w:val="none"/>
                <w:lang w:val="en-US" w:eastAsia="zh-CN" w:bidi="ar"/>
              </w:rPr>
            </w:pPr>
            <w:r>
              <w:rPr>
                <w:rFonts w:hint="default" w:ascii="Times New Roman" w:hAnsi="Times New Roman" w:eastAsia="宋体" w:cs="Times New Roman"/>
                <w:color w:val="0070C0"/>
                <w:spacing w:val="15"/>
                <w:kern w:val="0"/>
                <w:sz w:val="21"/>
                <w:szCs w:val="21"/>
                <w:u w:val="none"/>
                <w:lang w:val="en-US" w:eastAsia="zh-CN" w:bidi="ar"/>
              </w:rPr>
              <w:t>四、固体废弃物处置措施</w:t>
            </w:r>
          </w:p>
          <w:p>
            <w:pPr>
              <w:spacing w:afterLines="0"/>
              <w:ind w:firstLine="480" w:firstLineChars="200"/>
              <w:rPr>
                <w:rFonts w:ascii="Times New Roman" w:hAnsi="Times New Roman" w:eastAsia="宋体" w:cs="Times New Roman"/>
                <w:bCs/>
                <w:color w:val="0070C0"/>
                <w:szCs w:val="21"/>
              </w:rPr>
            </w:pPr>
            <w:r>
              <w:rPr>
                <w:rFonts w:hint="default" w:ascii="Times New Roman" w:hAnsi="Times New Roman" w:eastAsia="宋体" w:cs="Times New Roman"/>
                <w:color w:val="4F81BD"/>
                <w:spacing w:val="15"/>
                <w:kern w:val="0"/>
                <w:sz w:val="21"/>
                <w:szCs w:val="21"/>
                <w:u w:val="none"/>
                <w:lang w:val="en-US" w:eastAsia="zh-CN" w:bidi="ar"/>
              </w:rPr>
              <w:t>项目固废主要为生活垃圾、原料废包装、废边角料和不合格品、袋式除尘器收尘</w:t>
            </w:r>
            <w:r>
              <w:rPr>
                <w:rFonts w:hint="eastAsia" w:ascii="Times New Roman" w:hAnsi="Times New Roman" w:eastAsia="宋体" w:cs="Times New Roman"/>
                <w:color w:val="4F81BD"/>
                <w:spacing w:val="15"/>
                <w:kern w:val="0"/>
                <w:sz w:val="21"/>
                <w:szCs w:val="21"/>
                <w:u w:val="none"/>
                <w:lang w:val="en-US" w:eastAsia="zh-CN" w:bidi="ar"/>
              </w:rPr>
              <w:t>、</w:t>
            </w:r>
            <w:r>
              <w:rPr>
                <w:rFonts w:hint="default" w:ascii="Times New Roman" w:hAnsi="Times New Roman" w:eastAsia="宋体" w:cs="Times New Roman"/>
                <w:color w:val="4F81BD"/>
                <w:spacing w:val="15"/>
                <w:kern w:val="0"/>
                <w:sz w:val="21"/>
                <w:szCs w:val="21"/>
                <w:u w:val="none"/>
                <w:lang w:val="en-US" w:eastAsia="zh-CN" w:bidi="ar"/>
              </w:rPr>
              <w:t>无汞UV灯管</w:t>
            </w:r>
            <w:r>
              <w:rPr>
                <w:rFonts w:hint="eastAsia" w:ascii="Times New Roman" w:hAnsi="Times New Roman" w:eastAsia="宋体" w:cs="Times New Roman"/>
                <w:color w:val="4F81BD"/>
                <w:spacing w:val="15"/>
                <w:kern w:val="0"/>
                <w:sz w:val="21"/>
                <w:szCs w:val="21"/>
                <w:u w:val="none"/>
                <w:lang w:val="en-US" w:eastAsia="zh-CN" w:bidi="ar"/>
              </w:rPr>
              <w:t>、废塑料油渣、废液压油和油桶</w:t>
            </w:r>
            <w:r>
              <w:rPr>
                <w:rFonts w:hint="default" w:ascii="Times New Roman" w:hAnsi="Times New Roman" w:eastAsia="宋体" w:cs="Times New Roman"/>
                <w:color w:val="4F81BD"/>
                <w:spacing w:val="15"/>
                <w:kern w:val="0"/>
                <w:sz w:val="21"/>
                <w:szCs w:val="21"/>
                <w:u w:val="none"/>
                <w:lang w:val="en-US" w:eastAsia="zh-CN" w:bidi="ar"/>
              </w:rPr>
              <w:t>。其中，生活垃圾收集后交环卫部门清运处理；原料废包装、废边角料和不合格品、袋式除尘器收尘以及无汞UV灯管属于一般工业固废，收集于5m</w:t>
            </w:r>
            <w:r>
              <w:rPr>
                <w:rFonts w:hint="default" w:ascii="Times New Roman" w:hAnsi="Times New Roman" w:eastAsia="宋体" w:cs="Times New Roman"/>
                <w:color w:val="4F81BD"/>
                <w:spacing w:val="15"/>
                <w:kern w:val="0"/>
                <w:sz w:val="21"/>
                <w:szCs w:val="21"/>
                <w:u w:val="none"/>
                <w:vertAlign w:val="superscript"/>
                <w:lang w:val="en-US" w:eastAsia="zh-CN" w:bidi="ar"/>
              </w:rPr>
              <w:t>2</w:t>
            </w:r>
            <w:r>
              <w:rPr>
                <w:rFonts w:hint="default" w:ascii="Times New Roman" w:hAnsi="Times New Roman" w:eastAsia="宋体" w:cs="Times New Roman"/>
                <w:color w:val="4F81BD"/>
                <w:spacing w:val="15"/>
                <w:kern w:val="0"/>
                <w:sz w:val="21"/>
                <w:szCs w:val="21"/>
                <w:u w:val="none"/>
                <w:lang w:val="en-US" w:eastAsia="zh-CN" w:bidi="ar"/>
              </w:rPr>
              <w:t>的一般固废暂存间暂存，废包装袋暂存后外售给废品回收站，废边角料以及不合格产品作为原料返回生产线利用，袋式除尘器收尘作为原料返回生产线利用，UV光催化氧化设备安装无汞灯管，不属于危险废物，废UV灯管由设备供应商定期上门回收处置；废塑料油渣、废液压油和油桶属于危险废物，5m</w:t>
            </w:r>
            <w:r>
              <w:rPr>
                <w:rFonts w:hint="default" w:ascii="Times New Roman" w:hAnsi="Times New Roman" w:eastAsia="宋体" w:cs="Times New Roman"/>
                <w:color w:val="4F81BD"/>
                <w:spacing w:val="15"/>
                <w:kern w:val="0"/>
                <w:sz w:val="21"/>
                <w:szCs w:val="21"/>
                <w:u w:val="none"/>
                <w:vertAlign w:val="superscript"/>
                <w:lang w:val="en-US" w:eastAsia="zh-CN" w:bidi="ar"/>
              </w:rPr>
              <w:t>2</w:t>
            </w:r>
            <w:r>
              <w:rPr>
                <w:rFonts w:hint="default" w:ascii="Times New Roman" w:hAnsi="Times New Roman" w:eastAsia="宋体" w:cs="Times New Roman"/>
                <w:color w:val="4F81BD"/>
                <w:spacing w:val="15"/>
                <w:kern w:val="0"/>
                <w:sz w:val="21"/>
                <w:szCs w:val="21"/>
                <w:u w:val="none"/>
                <w:lang w:val="en-US" w:eastAsia="zh-CN" w:bidi="ar"/>
              </w:rPr>
              <w:t>危废暂存间暂存后交有资质单位处理。项目一般固废储存满足《一般工业固体废物贮存和填埋污染控制标准》 （GB18599-2020），危险固废物储存满足《危险废物贮存污染控制标准》（GB18597-2023）。</w:t>
            </w:r>
          </w:p>
        </w:tc>
        <w:tc>
          <w:tcPr>
            <w:tcW w:w="835" w:type="dxa"/>
            <w:vAlign w:val="center"/>
          </w:tcPr>
          <w:p>
            <w:pPr>
              <w:spacing w:afterLines="0"/>
              <w:jc w:val="center"/>
              <w:rPr>
                <w:rFonts w:ascii="Times New Roman" w:hAnsi="Times New Roman" w:eastAsia="宋体" w:cs="Times New Roman"/>
                <w:color w:val="0070C0"/>
                <w:szCs w:val="21"/>
              </w:rPr>
            </w:pPr>
          </w:p>
          <w:p>
            <w:pPr>
              <w:spacing w:afterLines="0"/>
              <w:jc w:val="center"/>
              <w:rPr>
                <w:rFonts w:ascii="Times New Roman" w:hAnsi="Times New Roman" w:eastAsia="宋体" w:cs="Times New Roman"/>
                <w:color w:val="0070C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833" w:hRule="atLeast"/>
          <w:jc w:val="center"/>
        </w:trPr>
        <w:tc>
          <w:tcPr>
            <w:tcW w:w="365" w:type="dxa"/>
            <w:vAlign w:val="center"/>
          </w:tcPr>
          <w:p>
            <w:pPr>
              <w:spacing w:afterLines="0"/>
              <w:jc w:val="center"/>
              <w:rPr>
                <w:rFonts w:hint="eastAsia" w:ascii="Times New Roman" w:hAnsi="Times New Roman" w:eastAsia="宋体" w:cs="Times New Roman"/>
                <w:color w:val="0070C0"/>
                <w:szCs w:val="21"/>
                <w:lang w:val="en-US" w:eastAsia="zh-CN"/>
              </w:rPr>
            </w:pPr>
          </w:p>
        </w:tc>
        <w:tc>
          <w:tcPr>
            <w:tcW w:w="912" w:type="dxa"/>
            <w:vAlign w:val="center"/>
          </w:tcPr>
          <w:p>
            <w:pPr>
              <w:spacing w:afterLines="0"/>
              <w:jc w:val="center"/>
              <w:rPr>
                <w:rFonts w:hint="default" w:ascii="Times New Roman" w:hAnsi="Times New Roman" w:eastAsia="宋体" w:cs="Times New Roman"/>
                <w:color w:val="4F81BD"/>
                <w:spacing w:val="15"/>
                <w:kern w:val="0"/>
                <w:sz w:val="21"/>
                <w:szCs w:val="21"/>
                <w:u w:val="none"/>
                <w:lang w:val="en-US" w:eastAsia="zh-CN" w:bidi="ar"/>
              </w:rPr>
            </w:pPr>
            <w:r>
              <w:rPr>
                <w:rFonts w:hint="default" w:ascii="Times New Roman" w:hAnsi="Times New Roman" w:eastAsia="宋体" w:cs="Times New Roman"/>
                <w:color w:val="4F81BD"/>
                <w:spacing w:val="15"/>
                <w:kern w:val="0"/>
                <w:sz w:val="21"/>
                <w:szCs w:val="21"/>
                <w:u w:val="none"/>
                <w:lang w:val="en-US" w:eastAsia="zh-CN" w:bidi="ar"/>
              </w:rPr>
              <w:t>河南鸿运实业有限公司年产2万吨塑料颗粒生产项目</w:t>
            </w:r>
          </w:p>
        </w:tc>
        <w:tc>
          <w:tcPr>
            <w:tcW w:w="824" w:type="dxa"/>
            <w:vAlign w:val="center"/>
          </w:tcPr>
          <w:p>
            <w:pPr>
              <w:spacing w:afterLines="0"/>
              <w:jc w:val="center"/>
              <w:rPr>
                <w:rFonts w:hint="default" w:ascii="Times New Roman" w:hAnsi="Times New Roman" w:eastAsia="宋体" w:cs="Times New Roman"/>
                <w:color w:val="4F81BD"/>
                <w:spacing w:val="15"/>
                <w:kern w:val="0"/>
                <w:sz w:val="21"/>
                <w:szCs w:val="21"/>
                <w:u w:val="none"/>
                <w:lang w:val="en-US" w:eastAsia="zh-CN" w:bidi="ar"/>
              </w:rPr>
            </w:pPr>
            <w:r>
              <w:rPr>
                <w:rFonts w:hint="default" w:ascii="Times New Roman" w:hAnsi="Times New Roman" w:eastAsia="宋体" w:cs="Times New Roman"/>
                <w:color w:val="4F81BD"/>
                <w:spacing w:val="15"/>
                <w:kern w:val="0"/>
                <w:sz w:val="21"/>
                <w:szCs w:val="21"/>
                <w:u w:val="none"/>
                <w:lang w:val="en-US" w:eastAsia="zh-CN" w:bidi="ar"/>
              </w:rPr>
              <w:t>周口市淮阳区高新区宛丘大道与明仁路交叉口南侧300米</w:t>
            </w:r>
          </w:p>
        </w:tc>
        <w:tc>
          <w:tcPr>
            <w:tcW w:w="824" w:type="dxa"/>
            <w:vAlign w:val="center"/>
          </w:tcPr>
          <w:p>
            <w:pPr>
              <w:spacing w:afterLines="0"/>
              <w:jc w:val="center"/>
              <w:rPr>
                <w:rFonts w:hint="default" w:ascii="Times New Roman" w:hAnsi="Times New Roman" w:eastAsia="宋体" w:cs="Times New Roman"/>
                <w:color w:val="4F81BD"/>
                <w:spacing w:val="15"/>
                <w:kern w:val="0"/>
                <w:sz w:val="21"/>
                <w:szCs w:val="21"/>
                <w:u w:val="none"/>
                <w:lang w:val="en-US" w:eastAsia="zh-CN" w:bidi="ar"/>
              </w:rPr>
            </w:pPr>
            <w:r>
              <w:rPr>
                <w:rFonts w:hint="default" w:ascii="Times New Roman" w:hAnsi="Times New Roman" w:eastAsia="宋体" w:cs="Times New Roman"/>
                <w:color w:val="4F81BD"/>
                <w:spacing w:val="15"/>
                <w:kern w:val="0"/>
                <w:sz w:val="21"/>
                <w:szCs w:val="21"/>
                <w:u w:val="none"/>
                <w:lang w:val="en-US" w:eastAsia="zh-CN" w:bidi="ar"/>
              </w:rPr>
              <w:t>河南鸿运实业有限公司</w:t>
            </w:r>
          </w:p>
        </w:tc>
        <w:tc>
          <w:tcPr>
            <w:tcW w:w="1220" w:type="dxa"/>
            <w:vAlign w:val="center"/>
          </w:tcPr>
          <w:p>
            <w:pPr>
              <w:spacing w:afterLines="0"/>
              <w:rPr>
                <w:rFonts w:hint="default" w:ascii="Times New Roman" w:hAnsi="Times New Roman" w:eastAsia="宋体" w:cs="Times New Roman"/>
                <w:color w:val="4F81BD"/>
                <w:spacing w:val="15"/>
                <w:kern w:val="0"/>
                <w:sz w:val="21"/>
                <w:szCs w:val="21"/>
                <w:u w:val="none"/>
                <w:lang w:val="en-US" w:eastAsia="zh-CN" w:bidi="ar"/>
              </w:rPr>
            </w:pPr>
            <w:r>
              <w:rPr>
                <w:rFonts w:hint="default" w:ascii="Times New Roman" w:hAnsi="Times New Roman" w:eastAsia="宋体" w:cs="Times New Roman"/>
                <w:color w:val="4F81BD"/>
                <w:spacing w:val="15"/>
                <w:kern w:val="0"/>
                <w:sz w:val="21"/>
                <w:szCs w:val="21"/>
                <w:u w:val="none"/>
                <w:lang w:val="en-US" w:eastAsia="zh-CN" w:bidi="ar"/>
              </w:rPr>
              <w:t>项目总投资3000万元，占地6666m</w:t>
            </w:r>
            <w:r>
              <w:rPr>
                <w:rFonts w:hint="default" w:ascii="Times New Roman" w:hAnsi="Times New Roman" w:eastAsia="宋体" w:cs="Times New Roman"/>
                <w:color w:val="4F81BD"/>
                <w:spacing w:val="15"/>
                <w:kern w:val="0"/>
                <w:sz w:val="21"/>
                <w:szCs w:val="21"/>
                <w:u w:val="none"/>
                <w:vertAlign w:val="superscript"/>
                <w:lang w:val="en-US" w:eastAsia="zh-CN" w:bidi="ar"/>
              </w:rPr>
              <w:t>2</w:t>
            </w:r>
            <w:r>
              <w:rPr>
                <w:rFonts w:hint="default" w:ascii="Times New Roman" w:hAnsi="Times New Roman" w:eastAsia="宋体" w:cs="Times New Roman"/>
                <w:color w:val="4F81BD"/>
                <w:spacing w:val="15"/>
                <w:kern w:val="0"/>
                <w:sz w:val="21"/>
                <w:szCs w:val="21"/>
                <w:u w:val="none"/>
                <w:lang w:val="en-US" w:eastAsia="zh-CN" w:bidi="ar"/>
              </w:rPr>
              <w:t>，建筑面积6000m</w:t>
            </w:r>
            <w:r>
              <w:rPr>
                <w:rFonts w:hint="default" w:ascii="Times New Roman" w:hAnsi="Times New Roman" w:eastAsia="宋体" w:cs="Times New Roman"/>
                <w:color w:val="4F81BD"/>
                <w:spacing w:val="15"/>
                <w:kern w:val="0"/>
                <w:sz w:val="21"/>
                <w:szCs w:val="21"/>
                <w:u w:val="none"/>
                <w:vertAlign w:val="superscript"/>
                <w:lang w:val="en-US" w:eastAsia="zh-CN" w:bidi="ar"/>
              </w:rPr>
              <w:t>2</w:t>
            </w:r>
            <w:r>
              <w:rPr>
                <w:rFonts w:hint="default" w:ascii="Times New Roman" w:hAnsi="Times New Roman" w:eastAsia="宋体" w:cs="Times New Roman"/>
                <w:color w:val="4F81BD"/>
                <w:spacing w:val="15"/>
                <w:kern w:val="0"/>
                <w:sz w:val="21"/>
                <w:szCs w:val="21"/>
                <w:u w:val="none"/>
                <w:lang w:val="en-US" w:eastAsia="zh-CN" w:bidi="ar"/>
              </w:rPr>
              <w:t>，建设再生塑料颗粒生产线，生产规模为年产2万吨塑料颗粒。</w:t>
            </w:r>
          </w:p>
        </w:tc>
        <w:tc>
          <w:tcPr>
            <w:tcW w:w="865" w:type="dxa"/>
            <w:vAlign w:val="center"/>
          </w:tcPr>
          <w:p>
            <w:pPr>
              <w:spacing w:afterLines="0"/>
              <w:rPr>
                <w:rFonts w:hint="default" w:ascii="Times New Roman" w:hAnsi="Times New Roman" w:eastAsia="宋体" w:cs="Times New Roman"/>
                <w:color w:val="4F81BD"/>
                <w:spacing w:val="15"/>
                <w:kern w:val="0"/>
                <w:sz w:val="21"/>
                <w:szCs w:val="21"/>
                <w:u w:val="none"/>
                <w:lang w:val="en-US" w:eastAsia="zh-CN" w:bidi="ar"/>
              </w:rPr>
            </w:pPr>
            <w:r>
              <w:rPr>
                <w:rFonts w:hint="default" w:ascii="Times New Roman" w:hAnsi="Times New Roman" w:eastAsia="宋体" w:cs="Times New Roman"/>
                <w:color w:val="4F81BD"/>
                <w:spacing w:val="15"/>
                <w:kern w:val="0"/>
                <w:sz w:val="21"/>
                <w:szCs w:val="21"/>
                <w:u w:val="none"/>
                <w:lang w:val="en-US" w:eastAsia="zh-CN" w:bidi="ar"/>
              </w:rPr>
              <w:t>河南</w:t>
            </w:r>
            <w:r>
              <w:rPr>
                <w:rFonts w:hint="eastAsia" w:ascii="Times New Roman" w:hAnsi="Times New Roman" w:eastAsia="宋体" w:cs="Times New Roman"/>
                <w:color w:val="4F81BD"/>
                <w:spacing w:val="15"/>
                <w:kern w:val="0"/>
                <w:sz w:val="21"/>
                <w:szCs w:val="21"/>
                <w:u w:val="none"/>
                <w:lang w:val="en-US" w:eastAsia="zh-CN" w:bidi="ar"/>
              </w:rPr>
              <w:t>嘉源</w:t>
            </w:r>
            <w:r>
              <w:rPr>
                <w:rFonts w:hint="default" w:ascii="Times New Roman" w:hAnsi="Times New Roman" w:eastAsia="宋体" w:cs="Times New Roman"/>
                <w:color w:val="4F81BD"/>
                <w:spacing w:val="15"/>
                <w:kern w:val="0"/>
                <w:sz w:val="21"/>
                <w:szCs w:val="21"/>
                <w:u w:val="none"/>
                <w:lang w:val="en-US" w:eastAsia="zh-CN" w:bidi="ar"/>
              </w:rPr>
              <w:t>环保</w:t>
            </w:r>
            <w:r>
              <w:rPr>
                <w:rFonts w:hint="eastAsia" w:ascii="Times New Roman" w:hAnsi="Times New Roman" w:eastAsia="宋体" w:cs="Times New Roman"/>
                <w:color w:val="4F81BD"/>
                <w:spacing w:val="15"/>
                <w:kern w:val="0"/>
                <w:sz w:val="21"/>
                <w:szCs w:val="21"/>
                <w:u w:val="none"/>
                <w:lang w:val="en-US" w:eastAsia="zh-CN" w:bidi="ar"/>
              </w:rPr>
              <w:t>技术</w:t>
            </w:r>
            <w:r>
              <w:rPr>
                <w:rFonts w:hint="default" w:ascii="Times New Roman" w:hAnsi="Times New Roman" w:eastAsia="宋体" w:cs="Times New Roman"/>
                <w:color w:val="4F81BD"/>
                <w:spacing w:val="15"/>
                <w:kern w:val="0"/>
                <w:sz w:val="21"/>
                <w:szCs w:val="21"/>
                <w:u w:val="none"/>
                <w:lang w:val="en-US" w:eastAsia="zh-CN" w:bidi="ar"/>
              </w:rPr>
              <w:t>有限公司</w:t>
            </w:r>
          </w:p>
        </w:tc>
        <w:tc>
          <w:tcPr>
            <w:tcW w:w="3529" w:type="dxa"/>
            <w:vAlign w:val="center"/>
          </w:tcPr>
          <w:p>
            <w:pPr>
              <w:widowControl/>
              <w:spacing w:line="240" w:lineRule="auto"/>
              <w:jc w:val="both"/>
              <w:rPr>
                <w:rFonts w:hint="default" w:ascii="Times New Roman" w:hAnsi="Times New Roman" w:eastAsia="宋体" w:cs="Times New Roman"/>
                <w:color w:val="0070C0"/>
                <w:spacing w:val="15"/>
                <w:kern w:val="0"/>
                <w:sz w:val="21"/>
                <w:szCs w:val="21"/>
                <w:u w:val="none"/>
                <w:lang w:val="en-US" w:eastAsia="zh-CN" w:bidi="ar"/>
              </w:rPr>
            </w:pPr>
            <w:r>
              <w:rPr>
                <w:rFonts w:hint="default" w:ascii="Times New Roman" w:hAnsi="Times New Roman" w:eastAsia="宋体" w:cs="Times New Roman"/>
                <w:color w:val="0070C0"/>
                <w:spacing w:val="15"/>
                <w:kern w:val="0"/>
                <w:sz w:val="21"/>
                <w:szCs w:val="21"/>
                <w:u w:val="none"/>
                <w:lang w:val="en-US" w:eastAsia="zh-CN" w:bidi="ar"/>
              </w:rPr>
              <w:t>一、废水污染防治措施</w:t>
            </w:r>
          </w:p>
          <w:p>
            <w:pPr>
              <w:widowControl/>
              <w:spacing w:line="240" w:lineRule="auto"/>
              <w:ind w:firstLine="480" w:firstLineChars="200"/>
              <w:jc w:val="both"/>
              <w:rPr>
                <w:rFonts w:hint="default" w:ascii="Times New Roman" w:hAnsi="Times New Roman" w:eastAsia="宋体" w:cs="Times New Roman"/>
                <w:color w:val="4F81BD"/>
                <w:spacing w:val="15"/>
                <w:kern w:val="0"/>
                <w:sz w:val="21"/>
                <w:szCs w:val="21"/>
                <w:u w:val="none"/>
                <w:lang w:val="en-US" w:eastAsia="zh-CN" w:bidi="ar"/>
              </w:rPr>
            </w:pPr>
            <w:r>
              <w:rPr>
                <w:rFonts w:hint="default" w:ascii="Times New Roman" w:hAnsi="Times New Roman" w:eastAsia="宋体" w:cs="Times New Roman"/>
                <w:color w:val="4F81BD"/>
                <w:spacing w:val="15"/>
                <w:kern w:val="0"/>
                <w:sz w:val="21"/>
                <w:szCs w:val="21"/>
                <w:u w:val="none"/>
                <w:lang w:val="en-US" w:eastAsia="zh-CN" w:bidi="ar"/>
              </w:rPr>
              <w:t>项目营运期废水主要为地面冲洗废水、</w:t>
            </w:r>
            <w:r>
              <w:rPr>
                <w:rFonts w:hint="eastAsia" w:ascii="Times New Roman" w:hAnsi="Times New Roman" w:eastAsia="宋体" w:cs="Times New Roman"/>
                <w:color w:val="4F81BD"/>
                <w:spacing w:val="15"/>
                <w:kern w:val="0"/>
                <w:sz w:val="21"/>
                <w:szCs w:val="21"/>
                <w:u w:val="none"/>
                <w:lang w:val="en-US" w:eastAsia="zh-CN" w:bidi="ar"/>
              </w:rPr>
              <w:t>拉丝冷却工序排污水、</w:t>
            </w:r>
            <w:r>
              <w:rPr>
                <w:rFonts w:hint="default" w:ascii="Times New Roman" w:hAnsi="Times New Roman" w:eastAsia="宋体" w:cs="Times New Roman"/>
                <w:color w:val="4F81BD"/>
                <w:spacing w:val="15"/>
                <w:kern w:val="0"/>
                <w:sz w:val="21"/>
                <w:szCs w:val="21"/>
                <w:u w:val="none"/>
                <w:lang w:val="en-US" w:eastAsia="zh-CN" w:bidi="ar"/>
              </w:rPr>
              <w:t>破碎、清洗废水和生活污水。地面冲洗废水</w:t>
            </w:r>
            <w:r>
              <w:rPr>
                <w:rFonts w:hint="eastAsia" w:ascii="Times New Roman" w:hAnsi="Times New Roman" w:eastAsia="宋体" w:cs="Times New Roman"/>
                <w:color w:val="4F81BD"/>
                <w:spacing w:val="15"/>
                <w:kern w:val="0"/>
                <w:sz w:val="21"/>
                <w:szCs w:val="21"/>
                <w:u w:val="none"/>
                <w:lang w:val="en-US" w:eastAsia="zh-CN" w:bidi="ar"/>
              </w:rPr>
              <w:t>厂区污水处理设施</w:t>
            </w:r>
            <w:r>
              <w:rPr>
                <w:rFonts w:hint="default" w:ascii="Times New Roman" w:hAnsi="Times New Roman" w:eastAsia="宋体" w:cs="Times New Roman"/>
                <w:color w:val="4F81BD"/>
                <w:spacing w:val="15"/>
                <w:kern w:val="0"/>
                <w:sz w:val="21"/>
                <w:szCs w:val="21"/>
                <w:u w:val="none"/>
                <w:lang w:val="en-US" w:eastAsia="zh-CN" w:bidi="ar"/>
              </w:rPr>
              <w:t>处理后全部回用不外排</w:t>
            </w:r>
            <w:r>
              <w:rPr>
                <w:rFonts w:hint="eastAsia" w:ascii="Times New Roman" w:hAnsi="Times New Roman" w:eastAsia="宋体" w:cs="Times New Roman"/>
                <w:color w:val="4F81BD"/>
                <w:spacing w:val="15"/>
                <w:kern w:val="0"/>
                <w:sz w:val="21"/>
                <w:szCs w:val="21"/>
                <w:u w:val="none"/>
                <w:lang w:val="en-US" w:eastAsia="zh-CN" w:bidi="ar"/>
              </w:rPr>
              <w:t>；</w:t>
            </w:r>
            <w:r>
              <w:rPr>
                <w:rFonts w:hint="default" w:ascii="Times New Roman" w:hAnsi="Times New Roman" w:eastAsia="宋体" w:cs="Times New Roman"/>
                <w:color w:val="4F81BD"/>
                <w:spacing w:val="15"/>
                <w:kern w:val="0"/>
                <w:sz w:val="21"/>
                <w:szCs w:val="21"/>
                <w:u w:val="none"/>
                <w:lang w:val="en-US" w:eastAsia="zh-CN" w:bidi="ar"/>
              </w:rPr>
              <w:t>拉丝冷却工序排污水属于清净下水，作为清洗废水补充水不外排</w:t>
            </w:r>
            <w:r>
              <w:rPr>
                <w:rFonts w:hint="eastAsia" w:ascii="Times New Roman" w:hAnsi="Times New Roman" w:eastAsia="宋体" w:cs="Times New Roman"/>
                <w:color w:val="4F81BD"/>
                <w:spacing w:val="15"/>
                <w:kern w:val="0"/>
                <w:sz w:val="21"/>
                <w:szCs w:val="21"/>
                <w:u w:val="none"/>
                <w:lang w:val="en-US" w:eastAsia="zh-CN" w:bidi="ar"/>
              </w:rPr>
              <w:t>；</w:t>
            </w:r>
            <w:r>
              <w:rPr>
                <w:rFonts w:hint="default" w:ascii="Times New Roman" w:hAnsi="Times New Roman" w:eastAsia="宋体" w:cs="Times New Roman"/>
                <w:color w:val="4F81BD"/>
                <w:spacing w:val="15"/>
                <w:kern w:val="0"/>
                <w:sz w:val="21"/>
                <w:szCs w:val="21"/>
                <w:u w:val="none"/>
                <w:lang w:val="en-US" w:eastAsia="zh-CN" w:bidi="ar"/>
              </w:rPr>
              <w:t>破碎、清洗废水经</w:t>
            </w:r>
            <w:r>
              <w:rPr>
                <w:rFonts w:hint="eastAsia" w:ascii="Times New Roman" w:hAnsi="Times New Roman" w:eastAsia="宋体" w:cs="Times New Roman"/>
                <w:color w:val="4F81BD"/>
                <w:spacing w:val="15"/>
                <w:kern w:val="0"/>
                <w:sz w:val="21"/>
                <w:szCs w:val="21"/>
                <w:u w:val="none"/>
                <w:lang w:val="en-US" w:eastAsia="zh-CN" w:bidi="ar"/>
              </w:rPr>
              <w:t>厂区</w:t>
            </w:r>
            <w:r>
              <w:rPr>
                <w:rFonts w:hint="default" w:ascii="Times New Roman" w:hAnsi="Times New Roman" w:eastAsia="宋体" w:cs="Times New Roman"/>
                <w:color w:val="4F81BD"/>
                <w:spacing w:val="15"/>
                <w:kern w:val="0"/>
                <w:sz w:val="21"/>
                <w:szCs w:val="21"/>
                <w:u w:val="none"/>
                <w:lang w:val="en-US" w:eastAsia="zh-CN" w:bidi="ar"/>
              </w:rPr>
              <w:t>污水处理设施处理后80%回用，其余和经化粪池处理后的生活污水一起经市政污水管网进入周口市淮阳区第一污水处理厂进一步处理</w:t>
            </w:r>
            <w:r>
              <w:rPr>
                <w:rFonts w:hint="eastAsia" w:ascii="Times New Roman" w:hAnsi="Times New Roman" w:eastAsia="宋体" w:cs="Times New Roman"/>
                <w:color w:val="4F81BD"/>
                <w:spacing w:val="15"/>
                <w:kern w:val="0"/>
                <w:sz w:val="21"/>
                <w:szCs w:val="21"/>
                <w:u w:val="none"/>
                <w:lang w:val="en-US" w:eastAsia="zh-CN" w:bidi="ar"/>
              </w:rPr>
              <w:t>，厂区总排口废水满足《合成树脂工业污染物排放标准》（GB31572-2015）表1直接排放标准限值和周口市淮阳区第一污水处理厂收水水质要求</w:t>
            </w:r>
            <w:r>
              <w:rPr>
                <w:rFonts w:hint="default" w:ascii="Times New Roman" w:hAnsi="Times New Roman" w:eastAsia="宋体" w:cs="Times New Roman"/>
                <w:color w:val="4F81BD"/>
                <w:spacing w:val="15"/>
                <w:kern w:val="0"/>
                <w:sz w:val="21"/>
                <w:szCs w:val="21"/>
                <w:u w:val="none"/>
                <w:lang w:val="en-US" w:eastAsia="zh-CN" w:bidi="ar"/>
              </w:rPr>
              <w:t>。</w:t>
            </w:r>
          </w:p>
          <w:p>
            <w:pPr>
              <w:widowControl/>
              <w:spacing w:line="240" w:lineRule="auto"/>
              <w:ind w:firstLine="480" w:firstLineChars="200"/>
              <w:jc w:val="both"/>
              <w:rPr>
                <w:rFonts w:hint="default" w:ascii="Times New Roman" w:hAnsi="Times New Roman" w:eastAsia="宋体" w:cs="Times New Roman"/>
                <w:color w:val="0070C0"/>
                <w:spacing w:val="15"/>
                <w:kern w:val="0"/>
                <w:sz w:val="21"/>
                <w:szCs w:val="21"/>
                <w:u w:val="none"/>
                <w:lang w:val="en-US" w:eastAsia="zh-CN" w:bidi="ar"/>
              </w:rPr>
            </w:pPr>
            <w:r>
              <w:rPr>
                <w:rFonts w:hint="default" w:ascii="Times New Roman" w:hAnsi="Times New Roman" w:eastAsia="宋体" w:cs="Times New Roman"/>
                <w:color w:val="0070C0"/>
                <w:spacing w:val="15"/>
                <w:kern w:val="0"/>
                <w:sz w:val="21"/>
                <w:szCs w:val="21"/>
                <w:u w:val="none"/>
                <w:lang w:val="en-US" w:eastAsia="zh-CN" w:bidi="ar"/>
              </w:rPr>
              <w:t>二、废气污染防治措施</w:t>
            </w:r>
          </w:p>
          <w:p>
            <w:pPr>
              <w:widowControl/>
              <w:numPr>
                <w:ilvl w:val="0"/>
                <w:numId w:val="0"/>
              </w:numPr>
              <w:spacing w:line="240" w:lineRule="auto"/>
              <w:ind w:firstLine="480" w:firstLineChars="200"/>
              <w:jc w:val="both"/>
              <w:rPr>
                <w:rFonts w:hint="default" w:ascii="Times New Roman" w:hAnsi="Times New Roman" w:eastAsia="宋体" w:cs="Times New Roman"/>
                <w:color w:val="0070C0"/>
                <w:spacing w:val="15"/>
                <w:kern w:val="0"/>
                <w:sz w:val="21"/>
                <w:szCs w:val="21"/>
                <w:u w:val="none"/>
                <w:lang w:val="en-US" w:eastAsia="zh-CN" w:bidi="ar"/>
              </w:rPr>
            </w:pPr>
            <w:r>
              <w:rPr>
                <w:rFonts w:hint="default" w:ascii="Times New Roman" w:hAnsi="Times New Roman" w:eastAsia="宋体" w:cs="Times New Roman"/>
                <w:color w:val="0070C0"/>
                <w:spacing w:val="15"/>
                <w:kern w:val="0"/>
                <w:sz w:val="21"/>
                <w:szCs w:val="21"/>
                <w:u w:val="none"/>
                <w:lang w:val="en-US" w:eastAsia="zh-CN" w:bidi="ar"/>
              </w:rPr>
              <w:t>项目营运期废气主要为1#生产车间造粒工序产生的颗粒物、非甲烷总烃，2#生产车间造粒工序产生的颗粒物、非甲烷总烃，卸料工序产生的颗粒物，污水处理站产生的恶臭。1#生产车间造粒工序产生的颗粒物、非甲烷总烃经静电除油装置+UV光催化氧化+活性炭吸附处理后，由1根15m高排气筒（DA001）排放，满足《合成树脂工业污染物排放标准》（GB31572-2015）表5大气污染物特别排放限值要求，同时满足《关于全省开展工业企业挥发性有机物专项治理工作中排放建议值的通知》豫环攻坚办【2017】162号附件1要求；2#生产车间造粒工序产生的颗粒物、非甲烷总烃经静电除油装置+UV光催化氧化+活性炭吸附处理后，由1根15m高排气筒（DA002）排放，满足《合成树脂工业污染物排放标准》（GB31572-2015）表5大气污染物特别排放限值要求，同时满足《关于全省开展工业企业挥发性有机物专项治理工作中排放建议值的通知》豫环攻坚办【2017】162号附件1要求；卸料工序产生的颗粒物经袋式除尘器处理后，由1根15m高排气筒（DA003）排放，满足《合成树脂工业污染物排放标准》（GB31572-2015）表5大气污染物特别排放限值要求；污水处理站恶臭经活性炭除臭装置处理后，由1根15m高排气筒（DA004）排放，满足《恶臭污染物排放标准》(GB14554-1993)表2排放标准限值要求。</w:t>
            </w:r>
          </w:p>
          <w:p>
            <w:pPr>
              <w:widowControl/>
              <w:numPr>
                <w:ilvl w:val="0"/>
                <w:numId w:val="0"/>
              </w:numPr>
              <w:spacing w:line="240" w:lineRule="auto"/>
              <w:ind w:firstLine="480" w:firstLineChars="200"/>
              <w:jc w:val="both"/>
              <w:rPr>
                <w:rFonts w:hint="default" w:ascii="Times New Roman" w:hAnsi="Times New Roman" w:eastAsia="宋体" w:cs="Times New Roman"/>
                <w:color w:val="0070C0"/>
                <w:spacing w:val="15"/>
                <w:kern w:val="0"/>
                <w:sz w:val="21"/>
                <w:szCs w:val="21"/>
                <w:u w:val="none"/>
                <w:lang w:val="en-US" w:eastAsia="zh-CN" w:bidi="ar"/>
              </w:rPr>
            </w:pPr>
            <w:r>
              <w:rPr>
                <w:rFonts w:hint="eastAsia" w:ascii="Times New Roman" w:hAnsi="Times New Roman" w:eastAsia="宋体" w:cs="Times New Roman"/>
                <w:color w:val="0070C0"/>
                <w:spacing w:val="15"/>
                <w:kern w:val="0"/>
                <w:sz w:val="21"/>
                <w:szCs w:val="21"/>
                <w:u w:val="none"/>
                <w:lang w:val="en-US" w:eastAsia="zh-CN" w:bidi="ar"/>
              </w:rPr>
              <w:t>三、</w:t>
            </w:r>
            <w:r>
              <w:rPr>
                <w:rFonts w:hint="default" w:ascii="Times New Roman" w:hAnsi="Times New Roman" w:eastAsia="宋体" w:cs="Times New Roman"/>
                <w:color w:val="0070C0"/>
                <w:spacing w:val="15"/>
                <w:kern w:val="0"/>
                <w:sz w:val="21"/>
                <w:szCs w:val="21"/>
                <w:u w:val="none"/>
                <w:lang w:val="en-US" w:eastAsia="zh-CN" w:bidi="ar"/>
              </w:rPr>
              <w:t>噪声污染防治措施</w:t>
            </w:r>
          </w:p>
          <w:p>
            <w:pPr>
              <w:widowControl/>
              <w:spacing w:line="240" w:lineRule="auto"/>
              <w:ind w:firstLine="480" w:firstLineChars="200"/>
              <w:jc w:val="both"/>
              <w:rPr>
                <w:rFonts w:hint="default" w:ascii="Times New Roman" w:hAnsi="Times New Roman" w:eastAsia="宋体" w:cs="Times New Roman"/>
                <w:color w:val="4F81BD"/>
                <w:spacing w:val="15"/>
                <w:kern w:val="0"/>
                <w:sz w:val="21"/>
                <w:szCs w:val="21"/>
                <w:u w:val="none"/>
                <w:lang w:val="en-US" w:eastAsia="zh-CN" w:bidi="ar"/>
              </w:rPr>
            </w:pPr>
            <w:r>
              <w:rPr>
                <w:rFonts w:hint="default" w:ascii="Times New Roman" w:hAnsi="Times New Roman" w:eastAsia="宋体" w:cs="Times New Roman"/>
                <w:color w:val="4F81BD"/>
                <w:spacing w:val="15"/>
                <w:kern w:val="0"/>
                <w:sz w:val="21"/>
                <w:szCs w:val="21"/>
                <w:u w:val="none"/>
                <w:lang w:val="en-US" w:eastAsia="zh-CN" w:bidi="ar"/>
              </w:rPr>
              <w:t>项目营运期噪声主要来源于粉碎机、挤出机、废气处理设施风机、</w:t>
            </w:r>
            <w:r>
              <w:rPr>
                <w:rFonts w:hint="eastAsia" w:ascii="Times New Roman" w:hAnsi="Times New Roman" w:eastAsia="宋体" w:cs="Times New Roman"/>
                <w:color w:val="4F81BD"/>
                <w:spacing w:val="15"/>
                <w:kern w:val="0"/>
                <w:sz w:val="21"/>
                <w:szCs w:val="21"/>
                <w:u w:val="none"/>
                <w:lang w:val="en-US" w:eastAsia="zh-CN" w:bidi="ar"/>
              </w:rPr>
              <w:t>污水处理站</w:t>
            </w:r>
            <w:r>
              <w:rPr>
                <w:rFonts w:hint="default" w:ascii="Times New Roman" w:hAnsi="Times New Roman" w:eastAsia="宋体" w:cs="Times New Roman"/>
                <w:color w:val="4F81BD"/>
                <w:spacing w:val="15"/>
                <w:kern w:val="0"/>
                <w:sz w:val="21"/>
                <w:szCs w:val="21"/>
                <w:u w:val="none"/>
                <w:lang w:val="en-US" w:eastAsia="zh-CN" w:bidi="ar"/>
              </w:rPr>
              <w:t>水泵等设备噪声，声源值在70-</w:t>
            </w:r>
            <w:r>
              <w:rPr>
                <w:rFonts w:hint="eastAsia" w:ascii="Times New Roman" w:hAnsi="Times New Roman" w:eastAsia="宋体" w:cs="Times New Roman"/>
                <w:color w:val="4F81BD"/>
                <w:spacing w:val="15"/>
                <w:kern w:val="0"/>
                <w:sz w:val="21"/>
                <w:szCs w:val="21"/>
                <w:u w:val="none"/>
                <w:lang w:val="en-US" w:eastAsia="zh-CN" w:bidi="ar"/>
              </w:rPr>
              <w:t>90</w:t>
            </w:r>
            <w:r>
              <w:rPr>
                <w:rFonts w:hint="default" w:ascii="Times New Roman" w:hAnsi="Times New Roman" w:eastAsia="宋体" w:cs="Times New Roman"/>
                <w:color w:val="4F81BD"/>
                <w:spacing w:val="15"/>
                <w:kern w:val="0"/>
                <w:sz w:val="21"/>
                <w:szCs w:val="21"/>
                <w:u w:val="none"/>
                <w:lang w:val="en-US" w:eastAsia="zh-CN" w:bidi="ar"/>
              </w:rPr>
              <w:t>dB（A），在经过基础减震、厂房阻隔、距离衰减后，项目各厂界噪声贡献值均满足GB12348-2008《工业企业厂界环境噪声排放标准》3类标准，实现达标排放。周边敏感点娄湾</w:t>
            </w:r>
            <w:r>
              <w:rPr>
                <w:rFonts w:hint="eastAsia" w:ascii="Times New Roman" w:hAnsi="Times New Roman" w:eastAsia="宋体" w:cs="Times New Roman"/>
                <w:color w:val="4F81BD"/>
                <w:spacing w:val="15"/>
                <w:kern w:val="0"/>
                <w:sz w:val="21"/>
                <w:szCs w:val="21"/>
                <w:u w:val="none"/>
                <w:lang w:val="en-US" w:eastAsia="zh-CN" w:bidi="ar"/>
              </w:rPr>
              <w:t>、后刘庄</w:t>
            </w:r>
            <w:r>
              <w:rPr>
                <w:rFonts w:hint="default" w:ascii="Times New Roman" w:hAnsi="Times New Roman" w:eastAsia="宋体" w:cs="Times New Roman"/>
                <w:color w:val="4F81BD"/>
                <w:spacing w:val="15"/>
                <w:kern w:val="0"/>
                <w:sz w:val="21"/>
                <w:szCs w:val="21"/>
                <w:u w:val="none"/>
                <w:lang w:val="en-US" w:eastAsia="zh-CN" w:bidi="ar"/>
              </w:rPr>
              <w:t>昼/夜噪声预测值均满足《声环境质量标准》（GB3096-2008）2类标准限值要求。</w:t>
            </w:r>
          </w:p>
          <w:p>
            <w:pPr>
              <w:widowControl/>
              <w:spacing w:line="240" w:lineRule="auto"/>
              <w:ind w:firstLine="480" w:firstLineChars="200"/>
              <w:jc w:val="both"/>
              <w:rPr>
                <w:rFonts w:hint="default" w:ascii="Times New Roman" w:hAnsi="Times New Roman" w:eastAsia="宋体" w:cs="Times New Roman"/>
                <w:color w:val="0070C0"/>
                <w:spacing w:val="15"/>
                <w:kern w:val="0"/>
                <w:sz w:val="21"/>
                <w:szCs w:val="21"/>
                <w:u w:val="none"/>
                <w:lang w:val="en-US" w:eastAsia="zh-CN" w:bidi="ar"/>
              </w:rPr>
            </w:pPr>
            <w:r>
              <w:rPr>
                <w:rFonts w:hint="default" w:ascii="Times New Roman" w:hAnsi="Times New Roman" w:eastAsia="宋体" w:cs="Times New Roman"/>
                <w:color w:val="0070C0"/>
                <w:spacing w:val="15"/>
                <w:kern w:val="0"/>
                <w:sz w:val="21"/>
                <w:szCs w:val="21"/>
                <w:u w:val="none"/>
                <w:lang w:val="en-US" w:eastAsia="zh-CN" w:bidi="ar"/>
              </w:rPr>
              <w:t>四、固体废弃物处置措施</w:t>
            </w:r>
          </w:p>
          <w:p>
            <w:pPr>
              <w:spacing w:afterLines="0"/>
              <w:ind w:firstLine="480" w:firstLineChars="200"/>
              <w:rPr>
                <w:rFonts w:hint="default" w:ascii="Times New Roman" w:hAnsi="Times New Roman" w:eastAsia="宋体" w:cs="Times New Roman"/>
                <w:color w:val="4F81BD"/>
                <w:spacing w:val="15"/>
                <w:kern w:val="0"/>
                <w:sz w:val="21"/>
                <w:szCs w:val="21"/>
                <w:u w:val="none"/>
                <w:lang w:val="en-US" w:eastAsia="zh-CN" w:bidi="ar"/>
              </w:rPr>
            </w:pPr>
            <w:r>
              <w:rPr>
                <w:rFonts w:hint="default" w:ascii="Times New Roman" w:hAnsi="Times New Roman" w:eastAsia="宋体" w:cs="Times New Roman"/>
                <w:color w:val="4F81BD"/>
                <w:spacing w:val="15"/>
                <w:kern w:val="0"/>
                <w:sz w:val="21"/>
                <w:szCs w:val="21"/>
                <w:u w:val="none"/>
                <w:lang w:val="en-US" w:eastAsia="zh-CN" w:bidi="ar"/>
              </w:rPr>
              <w:t>项目固废主要为生活垃圾、废滤网、除尘器收尘、废UV灯管、废滤袋、废水处理污泥、废塑料油渣、废催化剂、废活性炭。其中，生活垃圾收集后交环卫部门清运处理；废滤网属一般工业固体废物，暂存后交由原厂家回收；除尘器收尘收集暂存后交环卫部门清运处理；污水处理站污泥属一般工业固体废物，脱水暂存后外运砖厂制砖；废UV灯管为不含汞灯管，为一般固废，更换时由厂家带走处置；废气处理袋式除尘器废滤袋为一般工业固体废物，收集暂存后交设备维护商回收处理；废催化剂载体主要成分为铝，催化剂的主要成分是TiO</w:t>
            </w:r>
            <w:r>
              <w:rPr>
                <w:rFonts w:hint="default" w:ascii="Times New Roman" w:hAnsi="Times New Roman" w:eastAsia="宋体" w:cs="Times New Roman"/>
                <w:color w:val="4F81BD"/>
                <w:spacing w:val="15"/>
                <w:kern w:val="0"/>
                <w:sz w:val="21"/>
                <w:szCs w:val="21"/>
                <w:u w:val="none"/>
                <w:vertAlign w:val="subscript"/>
                <w:lang w:val="en-US" w:eastAsia="zh-CN" w:bidi="ar"/>
              </w:rPr>
              <w:t>2</w:t>
            </w:r>
            <w:r>
              <w:rPr>
                <w:rFonts w:hint="default" w:ascii="Times New Roman" w:hAnsi="Times New Roman" w:eastAsia="宋体" w:cs="Times New Roman"/>
                <w:color w:val="4F81BD"/>
                <w:spacing w:val="15"/>
                <w:kern w:val="0"/>
                <w:sz w:val="21"/>
                <w:szCs w:val="21"/>
                <w:u w:val="none"/>
                <w:lang w:val="en-US" w:eastAsia="zh-CN" w:bidi="ar"/>
              </w:rPr>
              <w:t>，属于一般固废，更换时由厂家带走处置；废塑料油渣、废活性炭属于危险废物，交有资质单位处理。项目一般固废储存满足《一般工业固体废物贮存和填埋污染控制标准》 （GB18599-2020），危险固废物储存满足《危险废物贮存污染控制标准》（GB18597-2023）。</w:t>
            </w:r>
          </w:p>
        </w:tc>
        <w:tc>
          <w:tcPr>
            <w:tcW w:w="835" w:type="dxa"/>
            <w:vAlign w:val="center"/>
          </w:tcPr>
          <w:p>
            <w:pPr>
              <w:spacing w:afterLines="0"/>
              <w:jc w:val="center"/>
              <w:rPr>
                <w:rFonts w:ascii="Times New Roman" w:hAnsi="Times New Roman" w:eastAsia="宋体" w:cs="Times New Roman"/>
                <w:color w:val="0070C0"/>
                <w:szCs w:val="21"/>
              </w:rPr>
            </w:pPr>
          </w:p>
        </w:tc>
      </w:tr>
    </w:tbl>
    <w:p>
      <w:pPr>
        <w:pStyle w:val="5"/>
        <w:ind w:firstLine="200"/>
        <w:rPr>
          <w:rFonts w:ascii="Times New Roman" w:hAnsi="Times New Roman" w:eastAsia="宋体" w:cs="Times New Roman"/>
          <w:color w:val="0070C0"/>
          <w:sz w:val="20"/>
          <w:szCs w:val="20"/>
        </w:rPr>
      </w:pPr>
    </w:p>
    <w:p>
      <w:pPr>
        <w:spacing w:after="312"/>
        <w:ind w:firstLine="600" w:firstLineChars="250"/>
        <w:rPr>
          <w:rFonts w:hint="eastAsia" w:ascii="Times New Roman" w:hAnsi="Times New Roman" w:cs="Times New Roman"/>
          <w:color w:val="002060"/>
          <w:sz w:val="24"/>
          <w:szCs w:val="24"/>
          <w:lang w:eastAsia="zh-CN"/>
        </w:rPr>
      </w:pPr>
      <w:r>
        <w:rPr>
          <w:rFonts w:hint="eastAsia" w:ascii="Times New Roman" w:hAnsi="Times New Roman" w:cs="Times New Roman"/>
          <w:color w:val="002060"/>
          <w:sz w:val="24"/>
          <w:szCs w:val="24"/>
          <w:lang w:eastAsia="zh-CN"/>
        </w:rPr>
        <w:t xml:space="preserve">附件：链接：https://pan.baidu.com/s/1VctUwHuHvVBY24gEE00Lrw </w:t>
      </w:r>
    </w:p>
    <w:p>
      <w:pPr>
        <w:spacing w:after="312"/>
        <w:ind w:firstLine="600" w:firstLineChars="250"/>
        <w:rPr>
          <w:rFonts w:hint="eastAsia" w:ascii="Times New Roman" w:hAnsi="Times New Roman" w:cs="Times New Roman"/>
          <w:color w:val="002060"/>
          <w:sz w:val="24"/>
          <w:szCs w:val="24"/>
          <w:lang w:val="en-US" w:eastAsia="zh-CN"/>
        </w:rPr>
      </w:pPr>
      <w:r>
        <w:rPr>
          <w:rFonts w:hint="eastAsia" w:ascii="Times New Roman" w:hAnsi="Times New Roman" w:cs="Times New Roman"/>
          <w:color w:val="002060"/>
          <w:sz w:val="24"/>
          <w:szCs w:val="24"/>
          <w:lang w:eastAsia="zh-CN"/>
        </w:rPr>
        <w:t>提取码：p82</w:t>
      </w:r>
      <w:r>
        <w:rPr>
          <w:rFonts w:hint="eastAsia" w:ascii="Times New Roman" w:hAnsi="Times New Roman" w:cs="Times New Roman"/>
          <w:color w:val="002060"/>
          <w:sz w:val="24"/>
          <w:szCs w:val="24"/>
          <w:lang w:val="en-US" w:eastAsia="zh-CN"/>
        </w:rPr>
        <w:t xml:space="preserve">3链接：https://pan.baidu.com/s/1qcwLoP7yA8d--IDf69pGZQ </w:t>
      </w:r>
    </w:p>
    <w:p>
      <w:pPr>
        <w:spacing w:after="312"/>
        <w:ind w:firstLine="600" w:firstLineChars="250"/>
        <w:rPr>
          <w:rFonts w:hint="eastAsia" w:ascii="Times New Roman" w:hAnsi="Times New Roman" w:cs="Times New Roman"/>
          <w:color w:val="002060"/>
          <w:sz w:val="24"/>
          <w:szCs w:val="24"/>
          <w:lang w:val="en-US" w:eastAsia="zh-CN"/>
        </w:rPr>
      </w:pPr>
      <w:r>
        <w:rPr>
          <w:rFonts w:hint="eastAsia" w:ascii="Times New Roman" w:hAnsi="Times New Roman" w:cs="Times New Roman"/>
          <w:color w:val="002060"/>
          <w:sz w:val="24"/>
          <w:szCs w:val="24"/>
          <w:lang w:val="en-US" w:eastAsia="zh-CN"/>
        </w:rPr>
        <w:t>提取码：3r9o</w:t>
      </w:r>
    </w:p>
    <w:p>
      <w:pPr>
        <w:pStyle w:val="2"/>
        <w:rPr>
          <w:rFonts w:hint="eastAsia"/>
          <w:lang w:val="en-US" w:eastAsia="zh-CN"/>
        </w:rPr>
      </w:pPr>
    </w:p>
    <w:p>
      <w:pPr>
        <w:pStyle w:val="2"/>
        <w:rPr>
          <w:rFonts w:hint="eastAsia"/>
          <w:lang w:val="en-US" w:eastAsia="zh-CN"/>
        </w:rPr>
      </w:pPr>
    </w:p>
    <w:p>
      <w:pPr>
        <w:pStyle w:val="2"/>
        <w:rPr>
          <w:rFonts w:hint="eastAsia"/>
          <w:lang w:eastAsia="zh-CN"/>
        </w:rPr>
      </w:pPr>
    </w:p>
    <w:p>
      <w:pPr>
        <w:pStyle w:val="2"/>
        <w:rPr>
          <w:rFonts w:hint="eastAsia"/>
          <w:lang w:eastAsia="zh-CN"/>
        </w:rPr>
      </w:pPr>
    </w:p>
    <w:p>
      <w:pPr>
        <w:pStyle w:val="2"/>
        <w:rPr>
          <w:rFonts w:hint="eastAsia"/>
          <w:lang w:eastAsia="zh-CN"/>
        </w:rPr>
      </w:pPr>
    </w:p>
    <w:p>
      <w:pPr>
        <w:spacing w:after="312"/>
        <w:rPr>
          <w:rFonts w:ascii="Times New Roman" w:hAnsi="Times New Roman" w:cs="Times New Roman"/>
        </w:rPr>
      </w:pPr>
    </w:p>
    <w:sectPr>
      <w:headerReference r:id="rId5" w:type="first"/>
      <w:footerReference r:id="rId8" w:type="first"/>
      <w:headerReference r:id="rId3" w:type="default"/>
      <w:footerReference r:id="rId6" w:type="default"/>
      <w:headerReference r:id="rId4" w:type="even"/>
      <w:footerReference r:id="rId7" w:type="even"/>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B1"/>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Verdana">
    <w:panose1 w:val="020B0604030504040204"/>
    <w:charset w:val="00"/>
    <w:family w:val="swiss"/>
    <w:pitch w:val="default"/>
    <w:sig w:usb0="A10006FF" w:usb1="4000205B" w:usb2="0000001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spacing w:after="24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spacing w:after="24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spacing w:after="24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spacing w:after="24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spacing w:after="24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spacing w:after="24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BjZDM2YmNjZDViNjdkY2MwMWM0OGViNTg5Mzc2OGQifQ=="/>
  </w:docVars>
  <w:rsids>
    <w:rsidRoot w:val="72F54ACF"/>
    <w:rsid w:val="00103E22"/>
    <w:rsid w:val="0015260B"/>
    <w:rsid w:val="00224DAA"/>
    <w:rsid w:val="003138CB"/>
    <w:rsid w:val="00316A61"/>
    <w:rsid w:val="0033415A"/>
    <w:rsid w:val="003765FE"/>
    <w:rsid w:val="00493736"/>
    <w:rsid w:val="004C264C"/>
    <w:rsid w:val="005425CE"/>
    <w:rsid w:val="00572325"/>
    <w:rsid w:val="0063646C"/>
    <w:rsid w:val="006A6D98"/>
    <w:rsid w:val="00705482"/>
    <w:rsid w:val="00766FAA"/>
    <w:rsid w:val="0079003B"/>
    <w:rsid w:val="008044A5"/>
    <w:rsid w:val="00836A09"/>
    <w:rsid w:val="00836FA7"/>
    <w:rsid w:val="00865EFF"/>
    <w:rsid w:val="00876CDB"/>
    <w:rsid w:val="00883D2E"/>
    <w:rsid w:val="008F7F5C"/>
    <w:rsid w:val="00960FFA"/>
    <w:rsid w:val="009F6EB3"/>
    <w:rsid w:val="00A469E4"/>
    <w:rsid w:val="00AF2716"/>
    <w:rsid w:val="00B50B13"/>
    <w:rsid w:val="00CB4777"/>
    <w:rsid w:val="00CC40BF"/>
    <w:rsid w:val="00D26875"/>
    <w:rsid w:val="00DA1C0F"/>
    <w:rsid w:val="00E8617F"/>
    <w:rsid w:val="00F52389"/>
    <w:rsid w:val="01163553"/>
    <w:rsid w:val="01555B1E"/>
    <w:rsid w:val="02591FE3"/>
    <w:rsid w:val="0316388C"/>
    <w:rsid w:val="03AB3CB8"/>
    <w:rsid w:val="042144F5"/>
    <w:rsid w:val="0611175F"/>
    <w:rsid w:val="07877BBD"/>
    <w:rsid w:val="091A4021"/>
    <w:rsid w:val="09AC7B1F"/>
    <w:rsid w:val="0BE90B9C"/>
    <w:rsid w:val="0BEA1285"/>
    <w:rsid w:val="0EF43ED2"/>
    <w:rsid w:val="169B1251"/>
    <w:rsid w:val="16A662AC"/>
    <w:rsid w:val="185445A5"/>
    <w:rsid w:val="1A874CD1"/>
    <w:rsid w:val="1AB53553"/>
    <w:rsid w:val="201E3BB3"/>
    <w:rsid w:val="20904970"/>
    <w:rsid w:val="221D1F6E"/>
    <w:rsid w:val="24B06CD6"/>
    <w:rsid w:val="26A64765"/>
    <w:rsid w:val="272E248B"/>
    <w:rsid w:val="28D11D58"/>
    <w:rsid w:val="28E745B1"/>
    <w:rsid w:val="29156F18"/>
    <w:rsid w:val="32BF4064"/>
    <w:rsid w:val="38EB7D29"/>
    <w:rsid w:val="3B27284B"/>
    <w:rsid w:val="3BA73168"/>
    <w:rsid w:val="3EFE4D05"/>
    <w:rsid w:val="416A241F"/>
    <w:rsid w:val="424D7654"/>
    <w:rsid w:val="440C05C8"/>
    <w:rsid w:val="47ED21C2"/>
    <w:rsid w:val="4FD100E4"/>
    <w:rsid w:val="527379F0"/>
    <w:rsid w:val="55C17F0F"/>
    <w:rsid w:val="568E484A"/>
    <w:rsid w:val="5C8051CB"/>
    <w:rsid w:val="5CF95A4F"/>
    <w:rsid w:val="5D007EE1"/>
    <w:rsid w:val="61757839"/>
    <w:rsid w:val="67980DBC"/>
    <w:rsid w:val="697236CE"/>
    <w:rsid w:val="6A040923"/>
    <w:rsid w:val="6A217952"/>
    <w:rsid w:val="6C4A59DD"/>
    <w:rsid w:val="71210906"/>
    <w:rsid w:val="72407C68"/>
    <w:rsid w:val="72F54ACF"/>
    <w:rsid w:val="730B241A"/>
    <w:rsid w:val="73912510"/>
    <w:rsid w:val="743615E9"/>
    <w:rsid w:val="755C6C57"/>
    <w:rsid w:val="783F0F6D"/>
    <w:rsid w:val="7B131834"/>
    <w:rsid w:val="7CC060CB"/>
    <w:rsid w:val="7FD53E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iPriority="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afterLines="10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qFormat/>
    <w:uiPriority w:val="0"/>
    <w:pPr>
      <w:keepNext/>
      <w:keepLines/>
      <w:spacing w:before="100" w:beforeAutospacing="1" w:after="100" w:afterAutospacing="1" w:line="520" w:lineRule="exact"/>
      <w:ind w:left="1050" w:leftChars="100" w:right="100" w:rightChars="100"/>
      <w:jc w:val="center"/>
      <w:outlineLvl w:val="0"/>
    </w:pPr>
    <w:rPr>
      <w:rFonts w:ascii="Calibri" w:hAnsi="Calibri" w:eastAsia="黑体" w:cs="Times New Roman"/>
      <w:b/>
      <w:bCs/>
      <w:kern w:val="44"/>
      <w:sz w:val="36"/>
      <w:szCs w:val="44"/>
    </w:rPr>
  </w:style>
  <w:style w:type="paragraph" w:styleId="4">
    <w:name w:val="heading 3"/>
    <w:basedOn w:val="1"/>
    <w:next w:val="1"/>
    <w:qFormat/>
    <w:uiPriority w:val="0"/>
    <w:pPr>
      <w:keepNext/>
      <w:keepLines/>
      <w:spacing w:before="260" w:after="260" w:line="416" w:lineRule="auto"/>
      <w:outlineLvl w:val="2"/>
    </w:pPr>
    <w:rPr>
      <w:b/>
      <w:bCs/>
      <w:sz w:val="32"/>
      <w:szCs w:val="32"/>
    </w:rPr>
  </w:style>
  <w:style w:type="paragraph" w:styleId="2">
    <w:name w:val="heading 4"/>
    <w:basedOn w:val="1"/>
    <w:next w:val="1"/>
    <w:qFormat/>
    <w:uiPriority w:val="0"/>
    <w:pPr>
      <w:keepNext/>
      <w:keepLines/>
      <w:spacing w:before="280" w:beforeLines="0" w:after="290" w:afterLines="0" w:line="372" w:lineRule="auto"/>
      <w:outlineLvl w:val="3"/>
    </w:pPr>
    <w:rPr>
      <w:rFonts w:ascii="Verdana" w:hAnsi="Verdana" w:eastAsia="Cambria"/>
      <w:b/>
      <w:bCs/>
      <w:sz w:val="28"/>
      <w:szCs w:val="28"/>
    </w:rPr>
  </w:style>
  <w:style w:type="character" w:default="1" w:styleId="13">
    <w:name w:val="Default Paragraph Font"/>
    <w:unhideWhenUsed/>
    <w:qFormat/>
    <w:uiPriority w:val="1"/>
  </w:style>
  <w:style w:type="table" w:default="1" w:styleId="14">
    <w:name w:val="Normal Table"/>
    <w:unhideWhenUsed/>
    <w:qFormat/>
    <w:uiPriority w:val="99"/>
    <w:tblPr>
      <w:tblLayout w:type="fixed"/>
      <w:tblCellMar>
        <w:top w:w="0" w:type="dxa"/>
        <w:left w:w="108" w:type="dxa"/>
        <w:bottom w:w="0" w:type="dxa"/>
        <w:right w:w="108" w:type="dxa"/>
      </w:tblCellMar>
    </w:tblPr>
  </w:style>
  <w:style w:type="paragraph" w:styleId="5">
    <w:name w:val="Body Text First Indent"/>
    <w:basedOn w:val="6"/>
    <w:next w:val="1"/>
    <w:qFormat/>
    <w:uiPriority w:val="0"/>
    <w:pPr>
      <w:ind w:firstLine="420" w:firstLineChars="100"/>
    </w:pPr>
  </w:style>
  <w:style w:type="paragraph" w:styleId="6">
    <w:name w:val="Body Text"/>
    <w:basedOn w:val="1"/>
    <w:next w:val="1"/>
    <w:qFormat/>
    <w:uiPriority w:val="0"/>
    <w:pPr>
      <w:spacing w:afterLines="0"/>
    </w:pPr>
  </w:style>
  <w:style w:type="paragraph" w:styleId="7">
    <w:name w:val="Body Text Indent 2"/>
    <w:basedOn w:val="1"/>
    <w:qFormat/>
    <w:uiPriority w:val="0"/>
    <w:pPr>
      <w:spacing w:after="120" w:line="480" w:lineRule="auto"/>
      <w:ind w:left="420" w:leftChars="200"/>
    </w:pPr>
    <w:rPr>
      <w:szCs w:val="20"/>
    </w:rPr>
  </w:style>
  <w:style w:type="paragraph" w:styleId="8">
    <w:name w:val="footer"/>
    <w:basedOn w:val="1"/>
    <w:link w:val="17"/>
    <w:qFormat/>
    <w:uiPriority w:val="0"/>
    <w:pPr>
      <w:tabs>
        <w:tab w:val="center" w:pos="4153"/>
        <w:tab w:val="right" w:pos="8306"/>
      </w:tabs>
      <w:snapToGrid w:val="0"/>
      <w:jc w:val="left"/>
    </w:pPr>
    <w:rPr>
      <w:sz w:val="18"/>
      <w:szCs w:val="18"/>
    </w:rPr>
  </w:style>
  <w:style w:type="paragraph" w:styleId="9">
    <w:name w:val="Body Text First Indent 2"/>
    <w:basedOn w:val="1"/>
    <w:next w:val="1"/>
    <w:qFormat/>
    <w:uiPriority w:val="0"/>
    <w:pPr>
      <w:spacing w:after="120"/>
      <w:ind w:left="420" w:leftChars="200" w:firstLine="420"/>
    </w:pPr>
  </w:style>
  <w:style w:type="paragraph" w:styleId="10">
    <w:name w:val="header"/>
    <w:basedOn w:val="1"/>
    <w:link w:val="16"/>
    <w:qFormat/>
    <w:uiPriority w:val="0"/>
    <w:pPr>
      <w:pBdr>
        <w:bottom w:val="single" w:color="auto" w:sz="6" w:space="1"/>
      </w:pBdr>
      <w:tabs>
        <w:tab w:val="center" w:pos="4153"/>
        <w:tab w:val="right" w:pos="8306"/>
      </w:tabs>
      <w:snapToGrid w:val="0"/>
      <w:jc w:val="center"/>
    </w:pPr>
    <w:rPr>
      <w:sz w:val="18"/>
      <w:szCs w:val="18"/>
    </w:rPr>
  </w:style>
  <w:style w:type="paragraph" w:styleId="11">
    <w:name w:val="Body Text 2"/>
    <w:basedOn w:val="1"/>
    <w:qFormat/>
    <w:uiPriority w:val="0"/>
    <w:pPr>
      <w:jc w:val="left"/>
    </w:pPr>
    <w:rPr>
      <w:szCs w:val="21"/>
    </w:rPr>
  </w:style>
  <w:style w:type="paragraph" w:styleId="12">
    <w:name w:val="Normal (Web)"/>
    <w:basedOn w:val="1"/>
    <w:qFormat/>
    <w:uiPriority w:val="0"/>
    <w:pPr>
      <w:spacing w:before="100" w:beforeAutospacing="1" w:afterAutospacing="1"/>
      <w:jc w:val="left"/>
    </w:pPr>
    <w:rPr>
      <w:rFonts w:cs="Times New Roman"/>
      <w:kern w:val="0"/>
      <w:sz w:val="24"/>
    </w:rPr>
  </w:style>
  <w:style w:type="table" w:styleId="15">
    <w:name w:val="Table Grid"/>
    <w:basedOn w:val="1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16">
    <w:name w:val="页眉 Char"/>
    <w:basedOn w:val="13"/>
    <w:link w:val="10"/>
    <w:qFormat/>
    <w:uiPriority w:val="0"/>
    <w:rPr>
      <w:kern w:val="2"/>
      <w:sz w:val="18"/>
      <w:szCs w:val="18"/>
    </w:rPr>
  </w:style>
  <w:style w:type="character" w:customStyle="1" w:styleId="17">
    <w:name w:val="页脚 Char"/>
    <w:basedOn w:val="13"/>
    <w:link w:val="8"/>
    <w:qFormat/>
    <w:uiPriority w:val="0"/>
    <w:rPr>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2.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883BBFA-4883-40F5-9B49-D690A3481C81}">
  <ds:schemaRefs/>
</ds:datastoreItem>
</file>

<file path=docProps/app.xml><?xml version="1.0" encoding="utf-8"?>
<Properties xmlns="http://schemas.openxmlformats.org/officeDocument/2006/extended-properties" xmlns:vt="http://schemas.openxmlformats.org/officeDocument/2006/docPropsVTypes">
  <Template>Normal</Template>
  <Pages>2</Pages>
  <Words>875</Words>
  <Characters>934</Characters>
  <Lines>1</Lines>
  <Paragraphs>1</Paragraphs>
  <ScaleCrop>false</ScaleCrop>
  <LinksUpToDate>false</LinksUpToDate>
  <CharactersWithSpaces>936</CharactersWithSpaces>
  <Application>WPS Office_10.8.0.6379_F1E327BC-269C-435d-A152-05C5408002CA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2020-11-27T03:16:00Z</dcterms:created>
  <dc:creator>高宇</dc:creator>
  <cp:lastModifiedBy>高宇</cp:lastModifiedBy>
  <dcterms:modified xsi:type="dcterms:W3CDTF">2024-01-09T08:06:44Z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2052-10.8.0.6379</vt:lpwstr>
  </property>
  <property fmtid="{D5CDD505-2E9C-101B-9397-08002B2CF9AE}" pid="3" name="ICV">
    <vt:lpwstr>BDE4BAC46792423D8CAE59991DB2AAE2_13</vt:lpwstr>
  </property>
</Properties>
</file>