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312"/>
        <w:jc w:val="center"/>
        <w:rPr>
          <w:rFonts w:ascii="Times New Roman" w:hAnsi="Times New Roman" w:eastAsia="黑体" w:cs="Times New Roman"/>
          <w:b/>
          <w:color w:val="0070C0"/>
          <w:sz w:val="30"/>
          <w:szCs w:val="30"/>
        </w:rPr>
      </w:pPr>
      <w:r>
        <w:rPr>
          <w:rFonts w:ascii="Times New Roman" w:hAnsi="Times New Roman" w:eastAsia="黑体" w:cs="Times New Roman"/>
          <w:b/>
          <w:color w:val="0070C0"/>
          <w:sz w:val="30"/>
          <w:szCs w:val="30"/>
        </w:rPr>
        <w:t>关于202</w:t>
      </w:r>
      <w:r>
        <w:rPr>
          <w:rFonts w:hint="eastAsia" w:ascii="Times New Roman" w:hAnsi="Times New Roman" w:eastAsia="黑体" w:cs="Times New Roman"/>
          <w:b/>
          <w:color w:val="0070C0"/>
          <w:sz w:val="30"/>
          <w:szCs w:val="30"/>
        </w:rPr>
        <w:t>3</w:t>
      </w:r>
      <w:r>
        <w:rPr>
          <w:rFonts w:ascii="Times New Roman" w:hAnsi="Times New Roman" w:eastAsia="黑体" w:cs="Times New Roman"/>
          <w:b/>
          <w:color w:val="0070C0"/>
          <w:sz w:val="30"/>
          <w:szCs w:val="30"/>
        </w:rPr>
        <w:t>年</w:t>
      </w:r>
      <w:r>
        <w:rPr>
          <w:rFonts w:hint="eastAsia" w:ascii="Times New Roman" w:hAnsi="Times New Roman" w:eastAsia="黑体" w:cs="Times New Roman"/>
          <w:b/>
          <w:color w:val="0070C0"/>
          <w:sz w:val="30"/>
          <w:szCs w:val="30"/>
          <w:lang w:val="en-US" w:eastAsia="zh-CN"/>
        </w:rPr>
        <w:t>12</w:t>
      </w:r>
      <w:r>
        <w:rPr>
          <w:rFonts w:ascii="Times New Roman" w:hAnsi="Times New Roman" w:eastAsia="黑体" w:cs="Times New Roman"/>
          <w:b/>
          <w:color w:val="0070C0"/>
          <w:sz w:val="30"/>
          <w:szCs w:val="30"/>
        </w:rPr>
        <w:t>月</w:t>
      </w:r>
      <w:r>
        <w:rPr>
          <w:rFonts w:hint="eastAsia" w:ascii="Times New Roman" w:hAnsi="Times New Roman" w:eastAsia="黑体" w:cs="Times New Roman"/>
          <w:b/>
          <w:color w:val="0070C0"/>
          <w:sz w:val="30"/>
          <w:szCs w:val="30"/>
          <w:lang w:val="en-US" w:eastAsia="zh-CN"/>
        </w:rPr>
        <w:t>27</w:t>
      </w:r>
      <w:r>
        <w:rPr>
          <w:rFonts w:ascii="Times New Roman" w:hAnsi="Times New Roman" w:eastAsia="黑体" w:cs="Times New Roman"/>
          <w:b/>
          <w:color w:val="0070C0"/>
          <w:sz w:val="30"/>
          <w:szCs w:val="30"/>
        </w:rPr>
        <w:t>日</w:t>
      </w:r>
      <w:r>
        <w:rPr>
          <w:rFonts w:hint="eastAsia" w:ascii="Times New Roman" w:hAnsi="Times New Roman" w:eastAsia="黑体" w:cs="Times New Roman"/>
          <w:b/>
          <w:color w:val="0070C0"/>
          <w:sz w:val="30"/>
          <w:szCs w:val="30"/>
          <w:lang w:eastAsia="zh-CN"/>
        </w:rPr>
        <w:t>拟</w:t>
      </w:r>
      <w:r>
        <w:rPr>
          <w:rFonts w:ascii="Times New Roman" w:hAnsi="Times New Roman" w:eastAsia="黑体" w:cs="Times New Roman"/>
          <w:b/>
          <w:color w:val="0070C0"/>
          <w:sz w:val="30"/>
          <w:szCs w:val="30"/>
        </w:rPr>
        <w:t>对</w:t>
      </w:r>
      <w:r>
        <w:rPr>
          <w:rFonts w:hint="eastAsia" w:ascii="Times New Roman" w:hAnsi="Times New Roman" w:eastAsia="黑体" w:cs="Times New Roman"/>
          <w:b/>
          <w:color w:val="0070C0"/>
          <w:sz w:val="30"/>
          <w:szCs w:val="30"/>
          <w:lang w:val="en-US" w:eastAsia="zh-CN"/>
        </w:rPr>
        <w:tab/>
      </w:r>
      <w:r>
        <w:rPr>
          <w:rFonts w:hint="eastAsia" w:ascii="Times New Roman" w:hAnsi="Times New Roman" w:eastAsia="黑体" w:cs="Times New Roman"/>
          <w:b/>
          <w:color w:val="0070C0"/>
          <w:sz w:val="30"/>
          <w:szCs w:val="30"/>
          <w:lang w:val="en-US" w:eastAsia="zh-CN"/>
        </w:rPr>
        <w:t>周口市福太新材料有限公司新建年产8万立方米人造板制造项目</w:t>
      </w:r>
      <w:r>
        <w:rPr>
          <w:rFonts w:ascii="Times New Roman" w:hAnsi="Times New Roman" w:eastAsia="黑体" w:cs="Times New Roman"/>
          <w:b/>
          <w:color w:val="0070C0"/>
          <w:sz w:val="30"/>
          <w:szCs w:val="30"/>
        </w:rPr>
        <w:t>环境影响评价文件</w:t>
      </w:r>
      <w:r>
        <w:rPr>
          <w:rFonts w:hint="eastAsia" w:ascii="Times New Roman" w:hAnsi="Times New Roman" w:eastAsia="黑体" w:cs="Times New Roman"/>
          <w:b/>
          <w:color w:val="0070C0"/>
          <w:sz w:val="30"/>
          <w:szCs w:val="30"/>
          <w:lang w:val="en-US" w:eastAsia="zh-CN"/>
        </w:rPr>
        <w:t>受理拟审批</w:t>
      </w:r>
      <w:r>
        <w:rPr>
          <w:rFonts w:hint="eastAsia" w:ascii="Times New Roman" w:hAnsi="Times New Roman" w:eastAsia="黑体" w:cs="Times New Roman"/>
          <w:b/>
          <w:color w:val="0070C0"/>
          <w:sz w:val="30"/>
          <w:szCs w:val="30"/>
          <w:lang w:eastAsia="zh-CN"/>
        </w:rPr>
        <w:t>决定</w:t>
      </w:r>
      <w:r>
        <w:rPr>
          <w:rFonts w:ascii="Times New Roman" w:hAnsi="Times New Roman" w:eastAsia="黑体" w:cs="Times New Roman"/>
          <w:b/>
          <w:color w:val="0070C0"/>
          <w:sz w:val="30"/>
          <w:szCs w:val="30"/>
        </w:rPr>
        <w:t>的公示</w:t>
      </w:r>
    </w:p>
    <w:p>
      <w:pPr>
        <w:keepNext w:val="0"/>
        <w:keepLines w:val="0"/>
        <w:pageBreakBefore w:val="0"/>
        <w:widowControl w:val="0"/>
        <w:kinsoku/>
        <w:wordWrap/>
        <w:overflowPunct/>
        <w:topLinePunct w:val="0"/>
        <w:autoSpaceDE/>
        <w:autoSpaceDN/>
        <w:bidi w:val="0"/>
        <w:adjustRightInd/>
        <w:snapToGrid/>
        <w:spacing w:after="313" w:afterLines="100" w:line="360" w:lineRule="auto"/>
        <w:ind w:left="0" w:leftChars="0" w:right="0" w:rightChars="0" w:firstLine="600" w:firstLineChars="250"/>
        <w:jc w:val="both"/>
        <w:textAlignment w:val="auto"/>
        <w:outlineLvl w:val="9"/>
        <w:rPr>
          <w:rFonts w:ascii="Times New Roman" w:hAnsi="Times New Roman" w:cs="Times New Roman"/>
          <w:color w:val="0070C0"/>
          <w:sz w:val="24"/>
          <w:szCs w:val="24"/>
        </w:rPr>
      </w:pPr>
    </w:p>
    <w:p>
      <w:pPr>
        <w:keepNext w:val="0"/>
        <w:keepLines w:val="0"/>
        <w:pageBreakBefore w:val="0"/>
        <w:widowControl w:val="0"/>
        <w:kinsoku/>
        <w:wordWrap/>
        <w:overflowPunct/>
        <w:topLinePunct w:val="0"/>
        <w:autoSpaceDE/>
        <w:autoSpaceDN/>
        <w:bidi w:val="0"/>
        <w:adjustRightInd/>
        <w:snapToGrid/>
        <w:spacing w:after="313" w:afterLines="100" w:line="360" w:lineRule="auto"/>
        <w:ind w:left="0" w:leftChars="0" w:right="0" w:rightChars="0" w:firstLine="600" w:firstLineChars="250"/>
        <w:jc w:val="both"/>
        <w:textAlignment w:val="auto"/>
        <w:outlineLvl w:val="9"/>
        <w:rPr>
          <w:rFonts w:ascii="Times New Roman" w:hAnsi="Times New Roman" w:eastAsia="宋体" w:cs="Times New Roman"/>
          <w:color w:val="0070C0"/>
          <w:sz w:val="24"/>
          <w:szCs w:val="24"/>
        </w:rPr>
      </w:pPr>
      <w:r>
        <w:rPr>
          <w:rFonts w:ascii="Times New Roman" w:hAnsi="Times New Roman" w:cs="Times New Roman"/>
          <w:color w:val="0070C0"/>
          <w:sz w:val="24"/>
          <w:szCs w:val="24"/>
        </w:rPr>
        <w:t>根据建设项目环境影响评价审批程序的有关规定，经审议，我局受理并拟对</w:t>
      </w:r>
      <w:r>
        <w:rPr>
          <w:rFonts w:hint="eastAsia" w:ascii="Times New Roman" w:hAnsi="Times New Roman" w:cs="Times New Roman"/>
          <w:color w:val="0070C0"/>
          <w:sz w:val="24"/>
          <w:szCs w:val="24"/>
        </w:rPr>
        <w:t>周口市福太新材料有限公司新建年产8万立方米人造板制造项目</w:t>
      </w:r>
      <w:r>
        <w:rPr>
          <w:rFonts w:ascii="Times New Roman" w:hAnsi="Times New Roman" w:cs="Times New Roman"/>
          <w:color w:val="0070C0"/>
          <w:sz w:val="24"/>
          <w:szCs w:val="24"/>
        </w:rPr>
        <w:t>环境影响评价文件作出审批意见。为保证审批意见的严肃性和公正性，现将建设项目环境影</w:t>
      </w:r>
      <w:r>
        <w:rPr>
          <w:rFonts w:ascii="Times New Roman" w:hAnsi="Times New Roman" w:eastAsia="宋体" w:cs="Times New Roman"/>
          <w:color w:val="0070C0"/>
          <w:sz w:val="24"/>
          <w:szCs w:val="24"/>
        </w:rPr>
        <w:t>响评价文件的基本情况予以公示。如有异议，请在公示期内反馈我局行政审批股。公示期为202</w:t>
      </w:r>
      <w:r>
        <w:rPr>
          <w:rFonts w:hint="eastAsia" w:ascii="Times New Roman" w:hAnsi="Times New Roman" w:eastAsia="宋体" w:cs="Times New Roman"/>
          <w:color w:val="0070C0"/>
          <w:sz w:val="24"/>
          <w:szCs w:val="24"/>
        </w:rPr>
        <w:t>3</w:t>
      </w:r>
      <w:r>
        <w:rPr>
          <w:rFonts w:ascii="Times New Roman" w:hAnsi="Times New Roman" w:cs="Times New Roman"/>
          <w:color w:val="0070C0"/>
          <w:sz w:val="24"/>
          <w:szCs w:val="24"/>
        </w:rPr>
        <w:t>年</w:t>
      </w:r>
      <w:r>
        <w:rPr>
          <w:rFonts w:hint="eastAsia" w:ascii="Times New Roman" w:hAnsi="Times New Roman" w:cs="Times New Roman"/>
          <w:color w:val="0070C0"/>
          <w:sz w:val="24"/>
          <w:szCs w:val="24"/>
        </w:rPr>
        <w:t>1</w:t>
      </w:r>
      <w:r>
        <w:rPr>
          <w:rFonts w:hint="eastAsia" w:ascii="Times New Roman" w:hAnsi="Times New Roman" w:cs="Times New Roman"/>
          <w:color w:val="0070C0"/>
          <w:sz w:val="24"/>
          <w:szCs w:val="24"/>
          <w:lang w:val="en-US" w:eastAsia="zh-CN"/>
        </w:rPr>
        <w:t>2</w:t>
      </w:r>
      <w:r>
        <w:rPr>
          <w:rFonts w:ascii="Times New Roman" w:hAnsi="Times New Roman" w:cs="Times New Roman"/>
          <w:color w:val="0070C0"/>
          <w:sz w:val="24"/>
          <w:szCs w:val="24"/>
        </w:rPr>
        <w:t>月</w:t>
      </w:r>
      <w:r>
        <w:rPr>
          <w:rFonts w:hint="eastAsia" w:ascii="Times New Roman" w:hAnsi="Times New Roman" w:cs="Times New Roman"/>
          <w:color w:val="0070C0"/>
          <w:sz w:val="24"/>
          <w:szCs w:val="24"/>
          <w:lang w:val="en-US" w:eastAsia="zh-CN"/>
        </w:rPr>
        <w:t>27</w:t>
      </w:r>
      <w:r>
        <w:rPr>
          <w:rFonts w:ascii="Times New Roman" w:hAnsi="Times New Roman" w:cs="Times New Roman"/>
          <w:color w:val="0070C0"/>
          <w:sz w:val="24"/>
          <w:szCs w:val="24"/>
        </w:rPr>
        <w:t>日-202</w:t>
      </w:r>
      <w:r>
        <w:rPr>
          <w:rFonts w:hint="eastAsia" w:ascii="Times New Roman" w:hAnsi="Times New Roman" w:cs="Times New Roman"/>
          <w:color w:val="0070C0"/>
          <w:sz w:val="24"/>
          <w:szCs w:val="24"/>
          <w:lang w:val="en-US" w:eastAsia="zh-CN"/>
        </w:rPr>
        <w:t>4</w:t>
      </w:r>
      <w:r>
        <w:rPr>
          <w:rFonts w:ascii="Times New Roman" w:hAnsi="Times New Roman" w:cs="Times New Roman"/>
          <w:color w:val="0070C0"/>
          <w:sz w:val="24"/>
          <w:szCs w:val="24"/>
        </w:rPr>
        <w:t>年</w:t>
      </w:r>
      <w:r>
        <w:rPr>
          <w:rFonts w:hint="eastAsia" w:ascii="Times New Roman" w:hAnsi="Times New Roman" w:cs="Times New Roman"/>
          <w:color w:val="0070C0"/>
          <w:sz w:val="24"/>
          <w:szCs w:val="24"/>
        </w:rPr>
        <w:t>1</w:t>
      </w:r>
      <w:r>
        <w:rPr>
          <w:rFonts w:ascii="Times New Roman" w:hAnsi="Times New Roman" w:cs="Times New Roman"/>
          <w:color w:val="0070C0"/>
          <w:sz w:val="24"/>
          <w:szCs w:val="24"/>
        </w:rPr>
        <w:t>月</w:t>
      </w:r>
      <w:r>
        <w:rPr>
          <w:rFonts w:hint="eastAsia" w:ascii="Times New Roman" w:hAnsi="Times New Roman" w:cs="Times New Roman"/>
          <w:color w:val="0070C0"/>
          <w:sz w:val="24"/>
          <w:szCs w:val="24"/>
          <w:lang w:val="en-US" w:eastAsia="zh-CN"/>
        </w:rPr>
        <w:t>3</w:t>
      </w:r>
      <w:r>
        <w:rPr>
          <w:rFonts w:ascii="Times New Roman" w:hAnsi="Times New Roman" w:cs="Times New Roman"/>
          <w:color w:val="0070C0"/>
          <w:sz w:val="24"/>
          <w:szCs w:val="24"/>
        </w:rPr>
        <w:t>日</w:t>
      </w:r>
      <w:r>
        <w:rPr>
          <w:rFonts w:ascii="Times New Roman" w:hAnsi="Times New Roman" w:eastAsia="宋体" w:cs="Times New Roman"/>
          <w:color w:val="0070C0"/>
          <w:sz w:val="24"/>
          <w:szCs w:val="24"/>
        </w:rPr>
        <w:t>（</w:t>
      </w:r>
      <w:r>
        <w:rPr>
          <w:rFonts w:hint="eastAsia" w:ascii="Times New Roman" w:hAnsi="Times New Roman" w:eastAsia="宋体" w:cs="Times New Roman"/>
          <w:color w:val="0070C0"/>
          <w:sz w:val="24"/>
          <w:szCs w:val="24"/>
          <w:lang w:val="en-US" w:eastAsia="zh-CN"/>
        </w:rPr>
        <w:t>5</w:t>
      </w:r>
      <w:r>
        <w:rPr>
          <w:rFonts w:ascii="Times New Roman" w:hAnsi="Times New Roman" w:eastAsia="宋体" w:cs="Times New Roman"/>
          <w:color w:val="0070C0"/>
          <w:sz w:val="24"/>
          <w:szCs w:val="24"/>
        </w:rPr>
        <w:t>个工作日）。</w:t>
      </w:r>
    </w:p>
    <w:p>
      <w:pPr>
        <w:keepNext w:val="0"/>
        <w:keepLines w:val="0"/>
        <w:pageBreakBefore w:val="0"/>
        <w:widowControl w:val="0"/>
        <w:kinsoku/>
        <w:wordWrap/>
        <w:overflowPunct/>
        <w:topLinePunct w:val="0"/>
        <w:autoSpaceDE/>
        <w:autoSpaceDN/>
        <w:bidi w:val="0"/>
        <w:adjustRightInd/>
        <w:snapToGrid/>
        <w:spacing w:after="313" w:afterLines="100" w:line="360" w:lineRule="auto"/>
        <w:ind w:right="0" w:rightChars="0"/>
        <w:jc w:val="both"/>
        <w:textAlignment w:val="auto"/>
        <w:outlineLvl w:val="9"/>
        <w:rPr>
          <w:rFonts w:ascii="Times New Roman" w:hAnsi="Times New Roman" w:eastAsia="宋体" w:cs="Times New Roman"/>
          <w:color w:val="0070C0"/>
          <w:sz w:val="24"/>
          <w:szCs w:val="24"/>
        </w:rPr>
      </w:pPr>
      <w:r>
        <w:rPr>
          <w:rFonts w:ascii="Times New Roman" w:hAnsi="Times New Roman" w:eastAsia="宋体" w:cs="Times New Roman"/>
          <w:color w:val="0070C0"/>
          <w:sz w:val="24"/>
          <w:szCs w:val="24"/>
        </w:rPr>
        <w:t xml:space="preserve">电话：0394-2700026  </w:t>
      </w:r>
    </w:p>
    <w:p>
      <w:pPr>
        <w:spacing w:after="312"/>
        <w:jc w:val="left"/>
        <w:rPr>
          <w:rFonts w:hint="eastAsia" w:ascii="Times New Roman" w:hAnsi="Times New Roman" w:eastAsia="宋体" w:cs="Times New Roman"/>
          <w:color w:val="0070C0"/>
          <w:sz w:val="24"/>
          <w:szCs w:val="24"/>
        </w:rPr>
      </w:pPr>
      <w:r>
        <w:rPr>
          <w:rFonts w:ascii="Times New Roman" w:hAnsi="Times New Roman" w:eastAsia="宋体" w:cs="Times New Roman"/>
          <w:color w:val="0070C0"/>
          <w:sz w:val="24"/>
          <w:szCs w:val="24"/>
        </w:rPr>
        <w:t>通讯地址：</w:t>
      </w:r>
      <w:r>
        <w:rPr>
          <w:rFonts w:hint="eastAsia" w:ascii="Times New Roman" w:hAnsi="Times New Roman" w:eastAsia="宋体" w:cs="Times New Roman"/>
          <w:color w:val="0070C0"/>
          <w:sz w:val="24"/>
          <w:szCs w:val="24"/>
        </w:rPr>
        <w:t>淮阳市民中心二楼北面生态环境局窗口</w:t>
      </w:r>
    </w:p>
    <w:p>
      <w:pPr>
        <w:spacing w:after="312"/>
        <w:jc w:val="left"/>
        <w:rPr>
          <w:rFonts w:ascii="Times New Roman" w:hAnsi="Times New Roman" w:eastAsia="宋体" w:cs="Times New Roman"/>
          <w:color w:val="0070C0"/>
          <w:sz w:val="24"/>
          <w:szCs w:val="24"/>
        </w:rPr>
      </w:pPr>
      <w:r>
        <w:rPr>
          <w:rFonts w:ascii="Times New Roman" w:hAnsi="Times New Roman" w:eastAsia="宋体" w:cs="Times New Roman"/>
          <w:color w:val="0070C0"/>
          <w:sz w:val="24"/>
          <w:szCs w:val="24"/>
        </w:rPr>
        <w:t>邮编：466700</w:t>
      </w:r>
    </w:p>
    <w:p>
      <w:pPr>
        <w:pStyle w:val="11"/>
        <w:widowControl/>
        <w:spacing w:before="0" w:beforeAutospacing="0" w:after="312" w:afterAutospacing="0" w:line="400" w:lineRule="exact"/>
        <w:rPr>
          <w:rFonts w:ascii="Times New Roman" w:hAnsi="Times New Roman" w:eastAsia="宋体"/>
          <w:color w:val="auto"/>
          <w:spacing w:val="15"/>
          <w:szCs w:val="24"/>
        </w:rPr>
      </w:pPr>
      <w:r>
        <w:rPr>
          <w:rFonts w:ascii="Times New Roman" w:hAnsi="Times New Roman" w:eastAsia="宋体"/>
          <w:color w:val="0070C0"/>
          <w:spacing w:val="15"/>
          <w:szCs w:val="24"/>
        </w:rPr>
        <w:t>听证告知：依据《中华人民共和国行政许可法》，自公示起</w:t>
      </w:r>
      <w:r>
        <w:rPr>
          <w:rFonts w:hint="eastAsia" w:ascii="Times New Roman" w:hAnsi="Times New Roman" w:eastAsia="宋体"/>
          <w:color w:val="0070C0"/>
          <w:spacing w:val="15"/>
          <w:szCs w:val="24"/>
          <w:lang w:val="en-US" w:eastAsia="zh-CN"/>
        </w:rPr>
        <w:t>5</w:t>
      </w:r>
      <w:r>
        <w:rPr>
          <w:rFonts w:ascii="Times New Roman" w:hAnsi="Times New Roman" w:eastAsia="宋体"/>
          <w:color w:val="0070C0"/>
          <w:spacing w:val="15"/>
          <w:szCs w:val="24"/>
        </w:rPr>
        <w:t>个工作日内申请人、有重大利益关系的利害关系人可对以下拟作出的建设项目环境影响评价文件批复决定要求听证。</w:t>
      </w:r>
    </w:p>
    <w:p>
      <w:pPr>
        <w:pStyle w:val="11"/>
        <w:widowControl/>
        <w:spacing w:before="0" w:beforeAutospacing="0" w:after="312" w:afterAutospacing="0" w:line="400" w:lineRule="exact"/>
        <w:ind w:firstLine="1080" w:firstLineChars="400"/>
        <w:rPr>
          <w:rFonts w:ascii="Times New Roman" w:hAnsi="Times New Roman" w:eastAsia="宋体"/>
          <w:color w:val="0070C0"/>
          <w:spacing w:val="15"/>
          <w:szCs w:val="24"/>
        </w:rPr>
      </w:pPr>
      <w:r>
        <w:rPr>
          <w:rFonts w:hint="eastAsia" w:ascii="Times New Roman" w:hAnsi="Times New Roman" w:eastAsia="宋体"/>
          <w:color w:val="0070C0"/>
          <w:spacing w:val="15"/>
          <w:szCs w:val="24"/>
          <w:lang w:eastAsia="zh-CN"/>
        </w:rPr>
        <w:t>受理</w:t>
      </w:r>
      <w:r>
        <w:rPr>
          <w:rFonts w:hint="eastAsia" w:ascii="Times New Roman" w:hAnsi="Times New Roman" w:eastAsia="宋体"/>
          <w:color w:val="0070C0"/>
          <w:spacing w:val="15"/>
          <w:szCs w:val="24"/>
        </w:rPr>
        <w:t>拟审批的建设项目环境影响报告表</w:t>
      </w:r>
    </w:p>
    <w:tbl>
      <w:tblPr>
        <w:tblStyle w:val="13"/>
        <w:tblpPr w:leftFromText="180" w:rightFromText="180" w:vertAnchor="text" w:horzAnchor="page" w:tblpXSpec="center" w:tblpY="256"/>
        <w:tblOverlap w:val="never"/>
        <w:tblW w:w="937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
        <w:gridCol w:w="912"/>
        <w:gridCol w:w="824"/>
        <w:gridCol w:w="824"/>
        <w:gridCol w:w="1220"/>
        <w:gridCol w:w="865"/>
        <w:gridCol w:w="3529"/>
        <w:gridCol w:w="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365"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序号</w:t>
            </w:r>
          </w:p>
        </w:tc>
        <w:tc>
          <w:tcPr>
            <w:tcW w:w="912"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项目名称</w:t>
            </w:r>
          </w:p>
        </w:tc>
        <w:tc>
          <w:tcPr>
            <w:tcW w:w="824"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建设地点</w:t>
            </w:r>
          </w:p>
        </w:tc>
        <w:tc>
          <w:tcPr>
            <w:tcW w:w="824"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建设单位</w:t>
            </w:r>
          </w:p>
        </w:tc>
        <w:tc>
          <w:tcPr>
            <w:tcW w:w="1220"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建设项目概况</w:t>
            </w:r>
          </w:p>
        </w:tc>
        <w:tc>
          <w:tcPr>
            <w:tcW w:w="865"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环境影响评</w:t>
            </w:r>
          </w:p>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价机构</w:t>
            </w:r>
          </w:p>
        </w:tc>
        <w:tc>
          <w:tcPr>
            <w:tcW w:w="3529"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主要环境影响及预防或减轻不良环境影响的对策和措施</w:t>
            </w:r>
          </w:p>
        </w:tc>
        <w:tc>
          <w:tcPr>
            <w:tcW w:w="835"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公众参与情况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33" w:hRule="atLeast"/>
          <w:jc w:val="center"/>
        </w:trPr>
        <w:tc>
          <w:tcPr>
            <w:tcW w:w="365" w:type="dxa"/>
            <w:vAlign w:val="center"/>
          </w:tcPr>
          <w:p>
            <w:pPr>
              <w:spacing w:afterLines="0"/>
              <w:jc w:val="center"/>
              <w:rPr>
                <w:rFonts w:hint="eastAsia" w:ascii="Times New Roman" w:hAnsi="Times New Roman" w:eastAsia="宋体" w:cs="Times New Roman"/>
                <w:color w:val="0070C0"/>
                <w:szCs w:val="21"/>
                <w:lang w:val="en-US" w:eastAsia="zh-CN"/>
              </w:rPr>
            </w:pPr>
            <w:r>
              <w:rPr>
                <w:rFonts w:hint="eastAsia" w:ascii="Times New Roman" w:hAnsi="Times New Roman" w:eastAsia="宋体" w:cs="Times New Roman"/>
                <w:color w:val="0070C0"/>
                <w:szCs w:val="21"/>
                <w:lang w:val="en-US" w:eastAsia="zh-CN"/>
              </w:rPr>
              <w:t>1</w:t>
            </w:r>
          </w:p>
        </w:tc>
        <w:tc>
          <w:tcPr>
            <w:tcW w:w="912" w:type="dxa"/>
            <w:vAlign w:val="center"/>
          </w:tcPr>
          <w:p>
            <w:pPr>
              <w:spacing w:afterLines="0"/>
              <w:jc w:val="center"/>
              <w:rPr>
                <w:rFonts w:ascii="Times New Roman" w:hAnsi="Times New Roman" w:eastAsia="宋体" w:cs="Times New Roman"/>
                <w:color w:val="0070C0"/>
                <w:szCs w:val="21"/>
              </w:rPr>
            </w:pPr>
            <w:r>
              <w:rPr>
                <w:rFonts w:hint="eastAsia" w:ascii="Times New Roman" w:hAnsi="Times New Roman" w:eastAsia="宋体" w:cs="Times New Roman"/>
                <w:color w:val="0070C0"/>
                <w:szCs w:val="21"/>
              </w:rPr>
              <w:t>新建年产 8 万立方米人造板制造项目</w:t>
            </w:r>
          </w:p>
        </w:tc>
        <w:tc>
          <w:tcPr>
            <w:tcW w:w="824" w:type="dxa"/>
            <w:vAlign w:val="center"/>
          </w:tcPr>
          <w:p>
            <w:pPr>
              <w:spacing w:afterLines="0"/>
              <w:jc w:val="center"/>
              <w:rPr>
                <w:rFonts w:ascii="Times New Roman" w:hAnsi="Times New Roman" w:eastAsia="宋体" w:cs="Times New Roman"/>
                <w:color w:val="0070C0"/>
                <w:szCs w:val="21"/>
              </w:rPr>
            </w:pPr>
            <w:r>
              <w:rPr>
                <w:rFonts w:hint="eastAsia" w:ascii="Times New Roman" w:hAnsi="Times New Roman" w:eastAsia="宋体" w:cs="Times New Roman"/>
                <w:color w:val="0070C0"/>
                <w:szCs w:val="21"/>
              </w:rPr>
              <w:t>周口市淮阳区刘振屯镇灯塔东300米018号</w:t>
            </w:r>
          </w:p>
        </w:tc>
        <w:tc>
          <w:tcPr>
            <w:tcW w:w="824" w:type="dxa"/>
            <w:vAlign w:val="center"/>
          </w:tcPr>
          <w:p>
            <w:pPr>
              <w:spacing w:afterLines="0"/>
              <w:jc w:val="center"/>
              <w:rPr>
                <w:rFonts w:ascii="Times New Roman" w:hAnsi="Times New Roman" w:eastAsia="宋体" w:cs="Times New Roman"/>
                <w:color w:val="0070C0"/>
                <w:szCs w:val="21"/>
              </w:rPr>
            </w:pPr>
            <w:r>
              <w:rPr>
                <w:rFonts w:hint="eastAsia" w:ascii="Times New Roman" w:hAnsi="Times New Roman" w:eastAsia="宋体" w:cs="Times New Roman"/>
                <w:color w:val="0070C0"/>
                <w:szCs w:val="21"/>
              </w:rPr>
              <w:t>周口市福太新材料有限公司</w:t>
            </w:r>
          </w:p>
        </w:tc>
        <w:tc>
          <w:tcPr>
            <w:tcW w:w="1220" w:type="dxa"/>
            <w:vAlign w:val="center"/>
          </w:tcPr>
          <w:p>
            <w:pPr>
              <w:spacing w:afterLines="0"/>
              <w:rPr>
                <w:rFonts w:ascii="Times New Roman" w:hAnsi="Times New Roman" w:eastAsia="宋体" w:cs="Times New Roman"/>
                <w:color w:val="0070C0"/>
                <w:szCs w:val="21"/>
              </w:rPr>
            </w:pPr>
            <w:r>
              <w:rPr>
                <w:rFonts w:hint="eastAsia" w:ascii="Times New Roman" w:hAnsi="Times New Roman" w:eastAsia="宋体" w:cs="Times New Roman"/>
                <w:color w:val="0070C0"/>
                <w:szCs w:val="21"/>
              </w:rPr>
              <w:t>本项目占地36136平方米，</w:t>
            </w:r>
            <w:r>
              <w:rPr>
                <w:rFonts w:hint="eastAsia" w:ascii="Times New Roman" w:hAnsi="Times New Roman" w:eastAsia="宋体" w:cs="Times New Roman"/>
                <w:color w:val="0070C0"/>
                <w:szCs w:val="21"/>
                <w:lang w:eastAsia="zh-CN"/>
              </w:rPr>
              <w:t>总投资</w:t>
            </w:r>
            <w:r>
              <w:rPr>
                <w:rFonts w:hint="eastAsia" w:ascii="Times New Roman" w:hAnsi="Times New Roman" w:eastAsia="宋体" w:cs="Times New Roman"/>
                <w:color w:val="0070C0"/>
                <w:szCs w:val="21"/>
                <w:lang w:val="en-US" w:eastAsia="zh-CN"/>
              </w:rPr>
              <w:t>15000万元，</w:t>
            </w:r>
            <w:r>
              <w:rPr>
                <w:rFonts w:hint="eastAsia" w:ascii="Times New Roman" w:hAnsi="Times New Roman" w:eastAsia="宋体" w:cs="Times New Roman"/>
                <w:color w:val="0070C0"/>
                <w:szCs w:val="21"/>
              </w:rPr>
              <w:t>年产8万立方米人造板建设项目</w:t>
            </w:r>
            <w:r>
              <w:rPr>
                <w:rFonts w:hint="eastAsia" w:ascii="Times New Roman" w:hAnsi="Times New Roman" w:eastAsia="宋体" w:cs="Times New Roman"/>
                <w:color w:val="0070C0"/>
                <w:szCs w:val="21"/>
                <w:lang w:eastAsia="zh-CN"/>
              </w:rPr>
              <w:t>。</w:t>
            </w:r>
          </w:p>
        </w:tc>
        <w:tc>
          <w:tcPr>
            <w:tcW w:w="865" w:type="dxa"/>
            <w:vAlign w:val="center"/>
          </w:tcPr>
          <w:p>
            <w:pPr>
              <w:spacing w:afterLines="0"/>
              <w:rPr>
                <w:rFonts w:hint="eastAsia" w:ascii="Times New Roman" w:hAnsi="Times New Roman" w:eastAsia="宋体" w:cs="Times New Roman"/>
                <w:color w:val="0070C0"/>
                <w:szCs w:val="21"/>
                <w:lang w:eastAsia="zh-CN"/>
              </w:rPr>
            </w:pPr>
            <w:r>
              <w:rPr>
                <w:rFonts w:hint="eastAsia" w:ascii="Times New Roman" w:hAnsi="Times New Roman" w:eastAsia="宋体" w:cs="Times New Roman"/>
                <w:color w:val="0070C0"/>
                <w:szCs w:val="21"/>
                <w:lang w:eastAsia="zh-CN"/>
              </w:rPr>
              <w:t>河南尧沃环保科技有限公司</w:t>
            </w:r>
          </w:p>
        </w:tc>
        <w:tc>
          <w:tcPr>
            <w:tcW w:w="3529" w:type="dxa"/>
            <w:vAlign w:val="center"/>
          </w:tcPr>
          <w:p>
            <w:pPr>
              <w:spacing w:afterLines="0"/>
              <w:ind w:firstLine="420" w:firstLineChars="200"/>
              <w:rPr>
                <w:rFonts w:hint="eastAsia" w:ascii="Times New Roman" w:hAnsi="Times New Roman" w:eastAsia="宋体" w:cs="Times New Roman"/>
                <w:bCs/>
                <w:color w:val="0070C0"/>
                <w:szCs w:val="21"/>
              </w:rPr>
            </w:pPr>
            <w:r>
              <w:rPr>
                <w:rFonts w:hint="eastAsia" w:ascii="Times New Roman" w:hAnsi="Times New Roman" w:eastAsia="宋体" w:cs="Times New Roman"/>
                <w:bCs/>
                <w:color w:val="0070C0"/>
                <w:szCs w:val="21"/>
              </w:rPr>
              <w:t>废气：本项目营运期废气主要为热压、贴面工序废气；锯边及砂光工序废气（颗粒物）；天然气锅炉燃烧废气及餐饮油烟。热压及贴面工序进行车间内二次密闭，热压机上方设置集气罩，热压及贴面废气密闭收集后，经管道引入1套“活性炭吸附/脱附催化燃烧”装置处理后，</w:t>
            </w:r>
            <w:r>
              <w:rPr>
                <w:rFonts w:hint="eastAsia" w:ascii="Times New Roman" w:hAnsi="Times New Roman" w:eastAsia="宋体" w:cs="Times New Roman"/>
                <w:bCs/>
                <w:color w:val="0070C0"/>
                <w:szCs w:val="21"/>
                <w:lang w:eastAsia="zh-CN"/>
              </w:rPr>
              <w:t>经</w:t>
            </w:r>
            <w:r>
              <w:rPr>
                <w:rFonts w:hint="eastAsia" w:ascii="Times New Roman" w:hAnsi="Times New Roman" w:eastAsia="宋体" w:cs="Times New Roman"/>
                <w:bCs/>
                <w:color w:val="0070C0"/>
                <w:szCs w:val="21"/>
              </w:rPr>
              <w:t>15米高排气筒排放。废气排放应满足《大气污染物综合排放标准》（GB16297-1996）表2 二级限值要求，同时满足河南省《关于全省开展工业企业挥发性有机物专项治理工作中排放建议值的通知》（豫环攻坚办〔2017〕162 号）文相关建议值要求。锯边、磨边及砂光工序位于密闭车间内，砂光打磨工序进行车间内二次密闭</w:t>
            </w:r>
            <w:r>
              <w:rPr>
                <w:rFonts w:hint="eastAsia" w:ascii="Times New Roman" w:hAnsi="Times New Roman" w:eastAsia="宋体" w:cs="Times New Roman"/>
                <w:bCs/>
                <w:color w:val="0070C0"/>
                <w:szCs w:val="21"/>
                <w:lang w:eastAsia="zh-CN"/>
              </w:rPr>
              <w:t>，</w:t>
            </w:r>
            <w:r>
              <w:rPr>
                <w:rFonts w:hint="eastAsia" w:ascii="Times New Roman" w:hAnsi="Times New Roman" w:eastAsia="宋体" w:cs="Times New Roman"/>
                <w:bCs/>
                <w:color w:val="0070C0"/>
                <w:szCs w:val="21"/>
              </w:rPr>
              <w:t>上方设置集气罩，废气收集后，经管道引入1套“袋式除尘器”处理后，</w:t>
            </w:r>
            <w:r>
              <w:rPr>
                <w:rFonts w:hint="eastAsia" w:ascii="Times New Roman" w:hAnsi="Times New Roman" w:eastAsia="宋体" w:cs="Times New Roman"/>
                <w:bCs/>
                <w:color w:val="0070C0"/>
                <w:szCs w:val="21"/>
                <w:lang w:eastAsia="zh-CN"/>
              </w:rPr>
              <w:t>经</w:t>
            </w:r>
            <w:r>
              <w:rPr>
                <w:rFonts w:hint="eastAsia" w:ascii="Times New Roman" w:hAnsi="Times New Roman" w:eastAsia="宋体" w:cs="Times New Roman"/>
                <w:bCs/>
                <w:color w:val="0070C0"/>
                <w:szCs w:val="21"/>
              </w:rPr>
              <w:t>15米高排气筒排放。废气排放应满足《大气污染物综合排放标准》（GB16297-1996）表2 二级限值要求。天然气锅炉燃烧废气安装低氮燃烧器，燃烧废气经15m高排气筒排放，排放应满足河南省《锅炉大气污染物排放标准》（DB41/2089-2021）相关限值要求。餐饮油烟经“油烟净化器”处理后，通过烟道引顶排放，排放应满足河南省《餐饮业油烟污染物排放标准》（DB41/1604-2018）“</w:t>
            </w:r>
            <w:r>
              <w:rPr>
                <w:rFonts w:hint="eastAsia" w:ascii="Times New Roman" w:hAnsi="Times New Roman" w:eastAsia="宋体" w:cs="Times New Roman"/>
                <w:bCs/>
                <w:color w:val="0070C0"/>
                <w:szCs w:val="21"/>
                <w:lang w:eastAsia="zh-CN"/>
              </w:rPr>
              <w:t>小</w:t>
            </w:r>
            <w:r>
              <w:rPr>
                <w:rFonts w:hint="eastAsia" w:ascii="Times New Roman" w:hAnsi="Times New Roman" w:eastAsia="宋体" w:cs="Times New Roman"/>
                <w:bCs/>
                <w:color w:val="0070C0"/>
                <w:szCs w:val="21"/>
              </w:rPr>
              <w:t>型”限值要求。</w:t>
            </w:r>
          </w:p>
          <w:p>
            <w:pPr>
              <w:spacing w:afterLines="0"/>
              <w:ind w:firstLine="420" w:firstLineChars="200"/>
              <w:rPr>
                <w:rFonts w:hint="eastAsia" w:ascii="Times New Roman" w:hAnsi="Times New Roman" w:eastAsia="宋体" w:cs="Times New Roman"/>
                <w:bCs/>
                <w:color w:val="0070C0"/>
                <w:szCs w:val="21"/>
              </w:rPr>
            </w:pPr>
            <w:r>
              <w:rPr>
                <w:rFonts w:hint="eastAsia" w:ascii="Times New Roman" w:hAnsi="Times New Roman" w:eastAsia="宋体" w:cs="Times New Roman"/>
                <w:bCs/>
                <w:color w:val="0070C0"/>
                <w:szCs w:val="21"/>
              </w:rPr>
              <w:t>废水：本项目营运期废水主要为职工生活污水、锅炉用软水制备浓水、离子交换树脂反冲洗废水、锅炉定期排水，生活污水经厂区“化粪池”收集后，用于周边农田施肥，不外排。锅炉用软水制备浓水、离子交换树脂反冲洗废水、锅炉定期排水收集后，用于厂区洒水抑尘，不外排。</w:t>
            </w:r>
          </w:p>
          <w:p>
            <w:pPr>
              <w:spacing w:afterLines="0"/>
              <w:ind w:firstLine="420" w:firstLineChars="200"/>
              <w:rPr>
                <w:rFonts w:hint="eastAsia" w:ascii="Times New Roman" w:hAnsi="Times New Roman" w:eastAsia="宋体" w:cs="Times New Roman"/>
                <w:bCs/>
                <w:color w:val="0070C0"/>
                <w:szCs w:val="21"/>
              </w:rPr>
            </w:pPr>
            <w:r>
              <w:rPr>
                <w:rFonts w:hint="eastAsia" w:ascii="Times New Roman" w:hAnsi="Times New Roman" w:eastAsia="宋体" w:cs="Times New Roman"/>
                <w:bCs/>
                <w:color w:val="0070C0"/>
                <w:szCs w:val="21"/>
              </w:rPr>
              <w:t>固废：活垃圾收集后，委托环卫清运处置。废木材边角料、除尘器收集尘，收集后厂区一般固废暂存间暂存，定期外售。废胶桶、废活性炭、废催化剂分类单独收集，暂存在危废暂存间，定期交由有资质单位进行处置。</w:t>
            </w:r>
          </w:p>
          <w:p>
            <w:pPr>
              <w:spacing w:afterLines="0"/>
              <w:ind w:firstLine="420" w:firstLineChars="200"/>
              <w:rPr>
                <w:rFonts w:ascii="Times New Roman" w:hAnsi="Times New Roman" w:eastAsia="宋体" w:cs="Times New Roman"/>
                <w:bCs/>
                <w:color w:val="0070C0"/>
                <w:szCs w:val="21"/>
              </w:rPr>
            </w:pPr>
            <w:r>
              <w:rPr>
                <w:rFonts w:hint="eastAsia" w:ascii="Times New Roman" w:hAnsi="Times New Roman" w:eastAsia="宋体" w:cs="Times New Roman"/>
                <w:bCs/>
                <w:color w:val="0070C0"/>
                <w:szCs w:val="21"/>
              </w:rPr>
              <w:t>噪声：本项目噪声主要为机械设备噪声，采取减振、隔声及距离衰减、同时加强设备维护，经距离衰减后各厂界噪声均应达到《工业企业厂界环境噪声排放标准》（GB12348-2008）2类标准。</w:t>
            </w:r>
          </w:p>
        </w:tc>
        <w:tc>
          <w:tcPr>
            <w:tcW w:w="835" w:type="dxa"/>
            <w:vAlign w:val="center"/>
          </w:tcPr>
          <w:p>
            <w:pPr>
              <w:spacing w:afterLines="0"/>
              <w:jc w:val="center"/>
              <w:rPr>
                <w:rFonts w:ascii="Times New Roman" w:hAnsi="Times New Roman" w:eastAsia="宋体" w:cs="Times New Roman"/>
                <w:color w:val="0070C0"/>
                <w:szCs w:val="21"/>
              </w:rPr>
            </w:pPr>
          </w:p>
          <w:p>
            <w:pPr>
              <w:spacing w:afterLines="0"/>
              <w:jc w:val="center"/>
              <w:rPr>
                <w:rFonts w:ascii="Times New Roman" w:hAnsi="Times New Roman" w:eastAsia="宋体" w:cs="Times New Roman"/>
                <w:color w:val="0070C0"/>
                <w:szCs w:val="21"/>
              </w:rPr>
            </w:pPr>
          </w:p>
        </w:tc>
      </w:tr>
    </w:tbl>
    <w:p>
      <w:pPr>
        <w:pStyle w:val="2"/>
        <w:ind w:firstLine="200"/>
        <w:rPr>
          <w:rFonts w:ascii="Times New Roman" w:hAnsi="Times New Roman" w:eastAsia="宋体" w:cs="Times New Roman"/>
          <w:color w:val="0070C0"/>
          <w:sz w:val="20"/>
          <w:szCs w:val="20"/>
        </w:rPr>
      </w:pPr>
    </w:p>
    <w:p>
      <w:pPr>
        <w:spacing w:after="312"/>
        <w:ind w:firstLine="600" w:firstLineChars="250"/>
        <w:rPr>
          <w:rFonts w:hint="eastAsia" w:ascii="Times New Roman" w:hAnsi="Times New Roman" w:cs="Times New Roman"/>
          <w:color w:val="002060"/>
          <w:sz w:val="24"/>
          <w:szCs w:val="24"/>
        </w:rPr>
      </w:pPr>
      <w:r>
        <w:rPr>
          <w:rFonts w:hint="eastAsia" w:ascii="Times New Roman" w:hAnsi="Times New Roman" w:cs="Times New Roman"/>
          <w:color w:val="002060"/>
          <w:sz w:val="24"/>
          <w:szCs w:val="24"/>
        </w:rPr>
        <w:t xml:space="preserve">链接：https://pan.baidu.com/s/1FTvxJGbLVP8fz6MLwdBZLA </w:t>
      </w:r>
    </w:p>
    <w:p>
      <w:pPr>
        <w:spacing w:after="312"/>
        <w:ind w:firstLine="600" w:firstLineChars="250"/>
        <w:rPr>
          <w:rFonts w:ascii="Times New Roman" w:hAnsi="Times New Roman" w:cs="Times New Roman"/>
          <w:color w:val="002060"/>
          <w:sz w:val="24"/>
          <w:szCs w:val="24"/>
        </w:rPr>
      </w:pPr>
      <w:r>
        <w:rPr>
          <w:rFonts w:hint="eastAsia" w:ascii="Times New Roman" w:hAnsi="Times New Roman" w:cs="Times New Roman"/>
          <w:color w:val="002060"/>
          <w:sz w:val="24"/>
          <w:szCs w:val="24"/>
        </w:rPr>
        <w:t>提取码：o</w:t>
      </w:r>
      <w:r>
        <w:rPr>
          <w:rFonts w:hint="eastAsia" w:ascii="Times New Roman" w:hAnsi="Times New Roman" w:cs="Times New Roman"/>
          <w:color w:val="002060"/>
          <w:sz w:val="24"/>
          <w:szCs w:val="24"/>
          <w:lang w:val="en-US" w:eastAsia="zh-CN"/>
        </w:rPr>
        <w:t>6</w:t>
      </w:r>
      <w:r>
        <w:rPr>
          <w:rFonts w:hint="eastAsia" w:ascii="Times New Roman" w:hAnsi="Times New Roman" w:cs="Times New Roman"/>
          <w:color w:val="002060"/>
          <w:sz w:val="24"/>
          <w:szCs w:val="24"/>
        </w:rPr>
        <w:t>9p</w:t>
      </w:r>
    </w:p>
    <w:p>
      <w:pPr>
        <w:spacing w:after="312"/>
        <w:ind w:firstLine="600" w:firstLineChars="250"/>
        <w:rPr>
          <w:rFonts w:ascii="Times New Roman" w:hAnsi="Times New Roman" w:cs="Times New Roman"/>
          <w:color w:val="002060"/>
          <w:sz w:val="24"/>
          <w:szCs w:val="24"/>
        </w:rPr>
      </w:pPr>
    </w:p>
    <w:p>
      <w:pPr>
        <w:spacing w:after="312"/>
        <w:rPr>
          <w:rFonts w:ascii="Times New Roman" w:hAnsi="Times New Roman" w:cs="Times New Roman"/>
        </w:rPr>
      </w:pPr>
      <w:bookmarkStart w:id="0" w:name="_GoBack"/>
      <w:bookmarkEnd w:id="0"/>
    </w:p>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Verdana">
    <w:panose1 w:val="020B0604030504040204"/>
    <w:charset w:val="00"/>
    <w:family w:val="swiss"/>
    <w:pitch w:val="default"/>
    <w:sig w:usb0="A10006FF" w:usb1="4000205B" w:usb2="00000010"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方正舒体">
    <w:altName w:val="宋体"/>
    <w:panose1 w:val="02010601030101010101"/>
    <w:charset w:val="86"/>
    <w:family w:val="auto"/>
    <w:pitch w:val="default"/>
    <w:sig w:usb0="00000000" w:usb1="0000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Arial">
    <w:panose1 w:val="020B0604020202020204"/>
    <w:charset w:val="00"/>
    <w:family w:val="swiss"/>
    <w:pitch w:val="default"/>
    <w:sig w:usb0="E0002AFF" w:usb1="C0007843" w:usb2="00000009" w:usb3="00000000" w:csb0="400001FF" w:csb1="FFFF0000"/>
  </w:font>
  <w:font w:name="Arial Unicode MS">
    <w:altName w:val="宋体"/>
    <w:panose1 w:val="020B0604020202020204"/>
    <w:charset w:val="86"/>
    <w:family w:val="roman"/>
    <w:pitch w:val="default"/>
    <w:sig w:usb0="00000000" w:usb1="00000000" w:usb2="0000003F" w:usb3="00000000" w:csb0="603F01FF" w:csb1="FFFF0000"/>
  </w:font>
  <w:font w:name="方正小标宋_GBK">
    <w:altName w:val="微软雅黑"/>
    <w:panose1 w:val="02000000000000000000"/>
    <w:charset w:val="86"/>
    <w:family w:val="script"/>
    <w:pitch w:val="default"/>
    <w:sig w:usb0="00000000" w:usb1="00000000" w:usb2="00082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Wingdings 2">
    <w:altName w:val="Wingdings"/>
    <w:panose1 w:val="05020102010507070707"/>
    <w:charset w:val="02"/>
    <w:family w:val="auto"/>
    <w:pitch w:val="default"/>
    <w:sig w:usb0="00000000" w:usb1="00000000" w:usb2="00000000" w:usb3="00000000" w:csb0="80000000" w:csb1="00000000"/>
  </w:font>
  <w:font w:name="TimesNewRomanPSMT-Identity-H">
    <w:altName w:val="Times New Roman"/>
    <w:panose1 w:val="00000000000000000000"/>
    <w:charset w:val="A1"/>
    <w:family w:val="auto"/>
    <w:pitch w:val="default"/>
    <w:sig w:usb0="00000000" w:usb1="00000000" w:usb2="00000000" w:usb3="00000000" w:csb0="00000008"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Wingdings">
    <w:panose1 w:val="05000000000000000000"/>
    <w:charset w:val="00"/>
    <w:family w:val="auto"/>
    <w:pitch w:val="default"/>
    <w:sig w:usb0="00000000" w:usb1="00000000" w:usb2="00000000" w:usb3="00000000" w:csb0="80000000" w:csb1="00000000"/>
  </w:font>
  <w:font w:name="TimesNewRomanPS-BoldMT">
    <w:altName w:val="Times New Roman"/>
    <w:panose1 w:val="00000000000000000000"/>
    <w:charset w:val="00"/>
    <w:family w:val="roman"/>
    <w:pitch w:val="default"/>
    <w:sig w:usb0="00000000" w:usb1="00000000" w:usb2="00000000" w:usb3="00000000" w:csb0="00040001" w:csb1="00000000"/>
  </w:font>
  <w:font w:name="TimesNewRomanPSMT">
    <w:altName w:val="Times New Roman"/>
    <w:panose1 w:val="00000000000000000000"/>
    <w:charset w:val="00"/>
    <w:family w:val="roman"/>
    <w:pitch w:val="default"/>
    <w:sig w:usb0="00000000" w:usb1="00000000" w:usb2="00000010" w:usb3="00000000" w:csb0="00060000" w:csb1="00000000"/>
  </w:font>
  <w:font w:name="Calibri Light">
    <w:panose1 w:val="020F0302020204030204"/>
    <w:charset w:val="00"/>
    <w:family w:val="swiss"/>
    <w:pitch w:val="default"/>
    <w:sig w:usb0="A00002EF" w:usb1="4000207B" w:usb2="00000000" w:usb3="00000000" w:csb0="2000019F" w:csb1="00000000"/>
  </w:font>
  <w:font w:name="PMingLiU">
    <w:panose1 w:val="02020500000000000000"/>
    <w:charset w:val="88"/>
    <w:family w:val="roman"/>
    <w:pitch w:val="default"/>
    <w:sig w:usb0="A00002FF" w:usb1="28CFFCFA" w:usb2="00000016" w:usb3="00000000" w:csb0="00100001" w:csb1="00000000"/>
  </w:font>
  <w:font w:name="ˎ̥">
    <w:altName w:val="Times New Roman"/>
    <w:panose1 w:val="00000000000000000000"/>
    <w:charset w:val="00"/>
    <w:family w:val="roman"/>
    <w:pitch w:val="default"/>
    <w:sig w:usb0="00000000" w:usb1="00000000" w:usb2="00000000" w:usb3="00000000" w:csb0="00040001" w:csb1="00000000"/>
  </w:font>
  <w:font w:name="方正楷体简体">
    <w:altName w:val="宋体"/>
    <w:panose1 w:val="00000000000000000000"/>
    <w:charset w:val="86"/>
    <w:family w:val="auto"/>
    <w:pitch w:val="default"/>
    <w:sig w:usb0="00000000" w:usb1="00000000" w:usb2="0000001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spacing w:after="24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spacing w:after="24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spacing w:after="24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spacing w:after="2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spacing w:after="2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spacing w:after="24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BjZDM2YmNjZDViNjdkY2MwMWM0OGViNTg5Mzc2OGQifQ=="/>
  </w:docVars>
  <w:rsids>
    <w:rsidRoot w:val="72F54ACF"/>
    <w:rsid w:val="00103E22"/>
    <w:rsid w:val="0015260B"/>
    <w:rsid w:val="00224DAA"/>
    <w:rsid w:val="003138CB"/>
    <w:rsid w:val="00316A61"/>
    <w:rsid w:val="0033415A"/>
    <w:rsid w:val="003765FE"/>
    <w:rsid w:val="00493736"/>
    <w:rsid w:val="004C264C"/>
    <w:rsid w:val="005425CE"/>
    <w:rsid w:val="00572325"/>
    <w:rsid w:val="0063646C"/>
    <w:rsid w:val="006A6D98"/>
    <w:rsid w:val="00705482"/>
    <w:rsid w:val="00766FAA"/>
    <w:rsid w:val="0079003B"/>
    <w:rsid w:val="008044A5"/>
    <w:rsid w:val="00836A09"/>
    <w:rsid w:val="00836FA7"/>
    <w:rsid w:val="00865EFF"/>
    <w:rsid w:val="00876CDB"/>
    <w:rsid w:val="00883D2E"/>
    <w:rsid w:val="008F7F5C"/>
    <w:rsid w:val="00960FFA"/>
    <w:rsid w:val="009F6EB3"/>
    <w:rsid w:val="00A469E4"/>
    <w:rsid w:val="00AF2716"/>
    <w:rsid w:val="00B50B13"/>
    <w:rsid w:val="00CB4777"/>
    <w:rsid w:val="00CC40BF"/>
    <w:rsid w:val="00D26875"/>
    <w:rsid w:val="00DA1C0F"/>
    <w:rsid w:val="00E8617F"/>
    <w:rsid w:val="00F52389"/>
    <w:rsid w:val="01163553"/>
    <w:rsid w:val="01555B1E"/>
    <w:rsid w:val="02591FE3"/>
    <w:rsid w:val="0316388C"/>
    <w:rsid w:val="03AB3CB8"/>
    <w:rsid w:val="042144F5"/>
    <w:rsid w:val="0611175F"/>
    <w:rsid w:val="07877BBD"/>
    <w:rsid w:val="091A4021"/>
    <w:rsid w:val="09AC7B1F"/>
    <w:rsid w:val="0BE90B9C"/>
    <w:rsid w:val="0BEA1285"/>
    <w:rsid w:val="0EF43ED2"/>
    <w:rsid w:val="169B1251"/>
    <w:rsid w:val="16A662AC"/>
    <w:rsid w:val="185445A5"/>
    <w:rsid w:val="1A874CD1"/>
    <w:rsid w:val="1AB53553"/>
    <w:rsid w:val="20904970"/>
    <w:rsid w:val="221D1F6E"/>
    <w:rsid w:val="24B06CD6"/>
    <w:rsid w:val="26A64765"/>
    <w:rsid w:val="272E248B"/>
    <w:rsid w:val="28D11D58"/>
    <w:rsid w:val="28E745B1"/>
    <w:rsid w:val="29156F18"/>
    <w:rsid w:val="32BF4064"/>
    <w:rsid w:val="3B27284B"/>
    <w:rsid w:val="3BA73168"/>
    <w:rsid w:val="3EFE4D05"/>
    <w:rsid w:val="416A241F"/>
    <w:rsid w:val="424D7654"/>
    <w:rsid w:val="440C05C8"/>
    <w:rsid w:val="47ED21C2"/>
    <w:rsid w:val="4FD100E4"/>
    <w:rsid w:val="527379F0"/>
    <w:rsid w:val="55C17F0F"/>
    <w:rsid w:val="568E484A"/>
    <w:rsid w:val="5C8051CB"/>
    <w:rsid w:val="5CF95A4F"/>
    <w:rsid w:val="5D007EE1"/>
    <w:rsid w:val="61757839"/>
    <w:rsid w:val="67980DBC"/>
    <w:rsid w:val="697236CE"/>
    <w:rsid w:val="6A040923"/>
    <w:rsid w:val="6A217952"/>
    <w:rsid w:val="71210906"/>
    <w:rsid w:val="72407C68"/>
    <w:rsid w:val="72F54ACF"/>
    <w:rsid w:val="730B241A"/>
    <w:rsid w:val="73912510"/>
    <w:rsid w:val="743615E9"/>
    <w:rsid w:val="755C6C57"/>
    <w:rsid w:val="783F0F6D"/>
    <w:rsid w:val="7B131834"/>
    <w:rsid w:val="7CC060CB"/>
    <w:rsid w:val="7FD53E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Lines="10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0"/>
    <w:pPr>
      <w:keepNext/>
      <w:keepLines/>
      <w:spacing w:before="100" w:beforeAutospacing="1" w:after="100" w:afterAutospacing="1" w:line="520" w:lineRule="exact"/>
      <w:ind w:left="1050" w:leftChars="100" w:right="100" w:rightChars="100"/>
      <w:jc w:val="center"/>
      <w:outlineLvl w:val="0"/>
    </w:pPr>
    <w:rPr>
      <w:rFonts w:ascii="Calibri" w:hAnsi="Calibri" w:eastAsia="黑体" w:cs="Times New Roman"/>
      <w:b/>
      <w:bCs/>
      <w:kern w:val="44"/>
      <w:sz w:val="36"/>
      <w:szCs w:val="44"/>
    </w:rPr>
  </w:style>
  <w:style w:type="paragraph" w:styleId="5">
    <w:name w:val="heading 3"/>
    <w:basedOn w:val="1"/>
    <w:next w:val="1"/>
    <w:qFormat/>
    <w:uiPriority w:val="0"/>
    <w:pPr>
      <w:keepNext/>
      <w:keepLines/>
      <w:spacing w:before="260" w:after="260" w:line="416" w:lineRule="auto"/>
      <w:outlineLvl w:val="2"/>
    </w:pPr>
    <w:rPr>
      <w:b/>
      <w:bCs/>
      <w:sz w:val="32"/>
      <w:szCs w:val="32"/>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w:basedOn w:val="3"/>
    <w:next w:val="1"/>
    <w:qFormat/>
    <w:uiPriority w:val="0"/>
    <w:pPr>
      <w:ind w:firstLine="420" w:firstLineChars="100"/>
    </w:pPr>
  </w:style>
  <w:style w:type="paragraph" w:styleId="3">
    <w:name w:val="Body Text"/>
    <w:basedOn w:val="1"/>
    <w:next w:val="1"/>
    <w:qFormat/>
    <w:uiPriority w:val="0"/>
    <w:pPr>
      <w:spacing w:afterLines="0"/>
    </w:pPr>
  </w:style>
  <w:style w:type="paragraph" w:styleId="6">
    <w:name w:val="Body Text Indent 2"/>
    <w:basedOn w:val="1"/>
    <w:qFormat/>
    <w:uiPriority w:val="0"/>
    <w:pPr>
      <w:spacing w:after="120" w:line="480" w:lineRule="auto"/>
      <w:ind w:left="420" w:leftChars="200"/>
    </w:pPr>
    <w:rPr>
      <w:szCs w:val="20"/>
    </w:rPr>
  </w:style>
  <w:style w:type="paragraph" w:styleId="7">
    <w:name w:val="footer"/>
    <w:basedOn w:val="1"/>
    <w:link w:val="16"/>
    <w:qFormat/>
    <w:uiPriority w:val="0"/>
    <w:pPr>
      <w:tabs>
        <w:tab w:val="center" w:pos="4153"/>
        <w:tab w:val="right" w:pos="8306"/>
      </w:tabs>
      <w:snapToGrid w:val="0"/>
      <w:jc w:val="left"/>
    </w:pPr>
    <w:rPr>
      <w:sz w:val="18"/>
      <w:szCs w:val="18"/>
    </w:rPr>
  </w:style>
  <w:style w:type="paragraph" w:styleId="8">
    <w:name w:val="Body Text First Indent 2"/>
    <w:basedOn w:val="1"/>
    <w:next w:val="1"/>
    <w:qFormat/>
    <w:uiPriority w:val="0"/>
    <w:pPr>
      <w:spacing w:after="120"/>
      <w:ind w:left="420" w:leftChars="200" w:firstLine="420"/>
    </w:pPr>
  </w:style>
  <w:style w:type="paragraph" w:styleId="9">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paragraph" w:styleId="10">
    <w:name w:val="Body Text 2"/>
    <w:basedOn w:val="1"/>
    <w:qFormat/>
    <w:uiPriority w:val="0"/>
    <w:pPr>
      <w:jc w:val="left"/>
    </w:pPr>
    <w:rPr>
      <w:szCs w:val="21"/>
    </w:rPr>
  </w:style>
  <w:style w:type="paragraph" w:styleId="11">
    <w:name w:val="Normal (Web)"/>
    <w:basedOn w:val="1"/>
    <w:qFormat/>
    <w:uiPriority w:val="0"/>
    <w:pPr>
      <w:spacing w:before="100" w:beforeAutospacing="1" w:afterAutospacing="1"/>
      <w:jc w:val="left"/>
    </w:pPr>
    <w:rPr>
      <w:rFonts w:cs="Times New Roman"/>
      <w:kern w:val="0"/>
      <w:sz w:val="24"/>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5">
    <w:name w:val="页眉 Char"/>
    <w:basedOn w:val="12"/>
    <w:link w:val="9"/>
    <w:qFormat/>
    <w:uiPriority w:val="0"/>
    <w:rPr>
      <w:kern w:val="2"/>
      <w:sz w:val="18"/>
      <w:szCs w:val="18"/>
    </w:rPr>
  </w:style>
  <w:style w:type="character" w:customStyle="1" w:styleId="16">
    <w:name w:val="页脚 Char"/>
    <w:basedOn w:val="12"/>
    <w:link w:val="7"/>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883BBFA-4883-40F5-9B49-D690A3481C81}">
  <ds:schemaRefs/>
</ds:datastoreItem>
</file>

<file path=docProps/app.xml><?xml version="1.0" encoding="utf-8"?>
<Properties xmlns="http://schemas.openxmlformats.org/officeDocument/2006/extended-properties" xmlns:vt="http://schemas.openxmlformats.org/officeDocument/2006/docPropsVTypes">
  <Template>Normal</Template>
  <Pages>2</Pages>
  <Words>875</Words>
  <Characters>934</Characters>
  <Lines>1</Lines>
  <Paragraphs>1</Paragraphs>
  <ScaleCrop>false</ScaleCrop>
  <LinksUpToDate>false</LinksUpToDate>
  <CharactersWithSpaces>936</CharactersWithSpaces>
  <Application>WPS Office_10.8.0.6379_F1E327BC-269C-435d-A152-05C5408002CA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2020-11-27T03:16:00Z</dcterms:created>
  <dc:creator>高宇</dc:creator>
  <cp:lastModifiedBy>高宇</cp:lastModifiedBy>
  <dcterms:modified xsi:type="dcterms:W3CDTF">2023-12-27T07:17:32Z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2052-10.8.0.6379</vt:lpwstr>
  </property>
  <property fmtid="{D5CDD505-2E9C-101B-9397-08002B2CF9AE}" pid="3" name="ICV">
    <vt:lpwstr>E880FDB649A049E5B003318578505CEF_13</vt:lpwstr>
  </property>
</Properties>
</file>