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color w:val="auto"/>
          <w:sz w:val="44"/>
          <w:szCs w:val="44"/>
          <w:lang w:val="en-US" w:eastAsia="zh-CN"/>
        </w:rPr>
      </w:pPr>
    </w:p>
    <w:p>
      <w:pPr>
        <w:jc w:val="center"/>
        <w:rPr>
          <w:rFonts w:hint="eastAsia" w:ascii="宋体" w:hAnsi="宋体" w:eastAsia="宋体" w:cs="宋体"/>
          <w:color w:val="auto"/>
          <w:spacing w:val="0"/>
          <w:sz w:val="32"/>
          <w:szCs w:val="32"/>
          <w:lang w:eastAsia="zh-CN"/>
        </w:rPr>
      </w:pPr>
    </w:p>
    <w:p>
      <w:pPr>
        <w:jc w:val="center"/>
        <w:rPr>
          <w:rFonts w:hint="eastAsia" w:ascii="仿宋_GB2312" w:hAnsi="仿宋_GB2312" w:eastAsia="仿宋_GB2312" w:cs="仿宋_GB2312"/>
          <w:color w:val="auto"/>
          <w:spacing w:val="0"/>
          <w:sz w:val="32"/>
          <w:szCs w:val="32"/>
          <w:lang w:eastAsia="zh-CN"/>
        </w:rPr>
      </w:pPr>
    </w:p>
    <w:p>
      <w:pPr>
        <w:pStyle w:val="14"/>
        <w:keepNext w:val="0"/>
        <w:keepLines w:val="0"/>
        <w:pageBreakBefore w:val="0"/>
        <w:widowControl w:val="0"/>
        <w:kinsoku/>
        <w:wordWrap/>
        <w:overflowPunct/>
        <w:topLinePunct w:val="0"/>
        <w:autoSpaceDE w:val="0"/>
        <w:autoSpaceDN w:val="0"/>
        <w:bidi w:val="0"/>
        <w:adjustRightInd w:val="0"/>
        <w:snapToGrid/>
        <w:spacing w:line="240" w:lineRule="exact"/>
        <w:textAlignment w:val="auto"/>
        <w:rPr>
          <w:rFonts w:hint="eastAsia" w:ascii="仿宋_GB2312" w:hAnsi="仿宋_GB2312" w:eastAsia="仿宋_GB2312" w:cs="仿宋_GB2312"/>
          <w:color w:val="auto"/>
          <w:spacing w:val="0"/>
          <w:sz w:val="32"/>
          <w:szCs w:val="32"/>
          <w:lang w:eastAsia="zh-CN"/>
        </w:rPr>
      </w:pPr>
    </w:p>
    <w:p>
      <w:pPr>
        <w:pStyle w:val="14"/>
        <w:keepNext w:val="0"/>
        <w:keepLines w:val="0"/>
        <w:pageBreakBefore w:val="0"/>
        <w:widowControl w:val="0"/>
        <w:kinsoku/>
        <w:wordWrap/>
        <w:overflowPunct/>
        <w:topLinePunct w:val="0"/>
        <w:autoSpaceDE w:val="0"/>
        <w:autoSpaceDN w:val="0"/>
        <w:bidi w:val="0"/>
        <w:adjustRightInd w:val="0"/>
        <w:snapToGrid/>
        <w:spacing w:line="240" w:lineRule="exact"/>
        <w:textAlignment w:val="auto"/>
        <w:rPr>
          <w:rFonts w:hint="eastAsia" w:ascii="仿宋_GB2312" w:hAnsi="仿宋_GB2312" w:eastAsia="仿宋_GB2312" w:cs="仿宋_GB2312"/>
          <w:color w:val="auto"/>
          <w:spacing w:val="0"/>
          <w:sz w:val="32"/>
          <w:szCs w:val="32"/>
          <w:lang w:eastAsia="zh-CN"/>
        </w:rPr>
      </w:pPr>
    </w:p>
    <w:p>
      <w:pPr>
        <w:pStyle w:val="14"/>
        <w:keepNext w:val="0"/>
        <w:keepLines w:val="0"/>
        <w:pageBreakBefore w:val="0"/>
        <w:widowControl w:val="0"/>
        <w:kinsoku/>
        <w:wordWrap/>
        <w:overflowPunct/>
        <w:topLinePunct w:val="0"/>
        <w:autoSpaceDE w:val="0"/>
        <w:autoSpaceDN w:val="0"/>
        <w:bidi w:val="0"/>
        <w:adjustRightInd w:val="0"/>
        <w:snapToGrid/>
        <w:spacing w:line="240" w:lineRule="exact"/>
        <w:textAlignment w:val="auto"/>
        <w:rPr>
          <w:rFonts w:hint="eastAsia" w:ascii="仿宋_GB2312" w:hAnsi="仿宋_GB2312" w:eastAsia="仿宋_GB2312" w:cs="仿宋_GB2312"/>
          <w:color w:val="auto"/>
          <w:spacing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仿宋_GB2312" w:hAnsi="仿宋_GB2312" w:eastAsia="仿宋_GB2312" w:cs="仿宋_GB2312"/>
          <w:color w:val="auto"/>
          <w:spacing w:val="0"/>
          <w:sz w:val="24"/>
          <w:szCs w:val="24"/>
          <w:lang w:val="en-US" w:eastAsia="zh-CN"/>
        </w:rPr>
      </w:pPr>
      <w:r>
        <w:rPr>
          <w:rFonts w:hint="eastAsia" w:ascii="仿宋_GB2312" w:hAnsi="仿宋_GB2312" w:eastAsia="仿宋_GB2312" w:cs="仿宋_GB2312"/>
          <w:color w:val="auto"/>
          <w:spacing w:val="0"/>
          <w:sz w:val="32"/>
          <w:szCs w:val="32"/>
          <w:lang w:eastAsia="zh-CN"/>
        </w:rPr>
        <w:t>沈环审</w:t>
      </w:r>
      <w:r>
        <w:rPr>
          <w:rFonts w:hint="eastAsia" w:ascii="仿宋_GB2312" w:hAnsi="仿宋_GB2312" w:eastAsia="仿宋_GB2312" w:cs="仿宋_GB2312"/>
          <w:color w:val="auto"/>
          <w:spacing w:val="0"/>
          <w:sz w:val="32"/>
          <w:szCs w:val="32"/>
        </w:rPr>
        <w:t>〔20</w:t>
      </w:r>
      <w:r>
        <w:rPr>
          <w:rFonts w:hint="eastAsia" w:ascii="仿宋_GB2312" w:hAnsi="仿宋_GB2312" w:eastAsia="仿宋_GB2312" w:cs="仿宋_GB2312"/>
          <w:color w:val="auto"/>
          <w:spacing w:val="0"/>
          <w:sz w:val="32"/>
          <w:szCs w:val="32"/>
          <w:lang w:val="en-US" w:eastAsia="zh-CN"/>
        </w:rPr>
        <w:t>23</w:t>
      </w:r>
      <w:r>
        <w:rPr>
          <w:rFonts w:hint="eastAsia" w:ascii="仿宋_GB2312" w:hAnsi="仿宋_GB2312" w:eastAsia="仿宋_GB2312" w:cs="仿宋_GB2312"/>
          <w:color w:val="auto"/>
          <w:spacing w:val="0"/>
          <w:sz w:val="32"/>
          <w:szCs w:val="32"/>
        </w:rPr>
        <w:t>〕</w:t>
      </w:r>
      <w:r>
        <w:rPr>
          <w:rFonts w:hint="eastAsia" w:ascii="仿宋_GB2312" w:hAnsi="仿宋_GB2312" w:eastAsia="仿宋_GB2312" w:cs="仿宋_GB2312"/>
          <w:color w:val="auto"/>
          <w:spacing w:val="0"/>
          <w:sz w:val="32"/>
          <w:szCs w:val="32"/>
          <w:lang w:val="en-US" w:eastAsia="zh-CN"/>
        </w:rPr>
        <w:t>27</w:t>
      </w:r>
      <w:r>
        <w:rPr>
          <w:rFonts w:hint="eastAsia" w:ascii="仿宋_GB2312" w:hAnsi="仿宋_GB2312" w:eastAsia="仿宋_GB2312" w:cs="仿宋_GB2312"/>
          <w:color w:val="auto"/>
          <w:spacing w:val="0"/>
          <w:sz w:val="32"/>
          <w:szCs w:val="32"/>
        </w:rPr>
        <w:t>号</w:t>
      </w:r>
    </w:p>
    <w:p>
      <w:pPr>
        <w:keepNext w:val="0"/>
        <w:keepLines w:val="0"/>
        <w:pageBreakBefore w:val="0"/>
        <w:widowControl w:val="0"/>
        <w:kinsoku/>
        <w:wordWrap/>
        <w:overflowPunct/>
        <w:topLinePunct w:val="0"/>
        <w:autoSpaceDE/>
        <w:autoSpaceDN/>
        <w:bidi w:val="0"/>
        <w:adjustRightInd/>
        <w:snapToGrid/>
        <w:spacing w:line="860" w:lineRule="exact"/>
        <w:ind w:left="0" w:leftChars="0" w:right="0" w:rightChars="0" w:firstLine="0" w:firstLineChars="0"/>
        <w:jc w:val="center"/>
        <w:textAlignment w:val="auto"/>
        <w:outlineLvl w:val="9"/>
        <w:rPr>
          <w:rFonts w:hint="eastAsia" w:ascii="仿宋_GB2312" w:hAnsi="仿宋_GB2312" w:eastAsia="仿宋_GB2312" w:cs="仿宋_GB2312"/>
          <w:color w:val="auto"/>
          <w:spacing w:val="0"/>
          <w:sz w:val="44"/>
          <w:szCs w:val="44"/>
          <w:lang w:val="en-US" w:eastAsia="zh-CN"/>
        </w:rPr>
      </w:pPr>
      <w:r>
        <w:rPr>
          <w:rFonts w:hint="eastAsia" w:ascii="仿宋_GB2312" w:hAnsi="仿宋_GB2312" w:eastAsia="仿宋_GB2312" w:cs="仿宋_GB2312"/>
          <w:color w:val="auto"/>
          <w:spacing w:val="0"/>
          <w:sz w:val="44"/>
          <w:szCs w:val="44"/>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eastAsia" w:ascii="宋体" w:hAnsi="宋体" w:eastAsia="宋体" w:cs="宋体"/>
          <w:sz w:val="44"/>
          <w:szCs w:val="44"/>
        </w:rPr>
      </w:pPr>
      <w:r>
        <w:rPr>
          <w:rFonts w:hint="eastAsia" w:ascii="仿宋_GB2312" w:hAnsi="仿宋_GB2312" w:eastAsia="仿宋_GB2312" w:cs="仿宋_GB2312"/>
          <w:color w:val="auto"/>
          <w:spacing w:val="0"/>
          <w:sz w:val="44"/>
          <w:szCs w:val="44"/>
          <w:lang w:val="en-US" w:eastAsia="zh-CN"/>
        </w:rPr>
        <w:t xml:space="preserve">        </w:t>
      </w:r>
    </w:p>
    <w:p>
      <w:pPr>
        <w:keepNext w:val="0"/>
        <w:keepLines w:val="0"/>
        <w:pageBreakBefore w:val="0"/>
        <w:widowControl/>
        <w:kinsoku/>
        <w:wordWrap/>
        <w:overflowPunct/>
        <w:topLinePunct w:val="0"/>
        <w:autoSpaceDE/>
        <w:autoSpaceDN/>
        <w:bidi w:val="0"/>
        <w:adjustRightInd/>
        <w:snapToGrid/>
        <w:spacing w:line="600" w:lineRule="exact"/>
        <w:ind w:right="482"/>
        <w:jc w:val="center"/>
        <w:textAlignment w:val="auto"/>
        <w:rPr>
          <w:rFonts w:hint="eastAsia" w:ascii="方正小标宋简体" w:hAnsi="方正小标宋简体" w:eastAsia="方正小标宋简体" w:cs="方正小标宋简体"/>
          <w:b w:val="0"/>
          <w:bCs/>
          <w:sz w:val="44"/>
          <w:szCs w:val="44"/>
          <w:lang w:val="en-US" w:eastAsia="zh-CN"/>
        </w:rPr>
      </w:pPr>
      <w:r>
        <w:rPr>
          <w:rFonts w:hint="eastAsia" w:ascii="方正小标宋简体" w:hAnsi="方正小标宋简体" w:eastAsia="方正小标宋简体" w:cs="方正小标宋简体"/>
          <w:b w:val="0"/>
          <w:bCs/>
          <w:sz w:val="44"/>
          <w:szCs w:val="44"/>
        </w:rPr>
        <w:t>关于</w:t>
      </w:r>
      <w:r>
        <w:rPr>
          <w:rFonts w:hint="eastAsia" w:ascii="方正小标宋简体" w:hAnsi="方正小标宋简体" w:eastAsia="方正小标宋简体" w:cs="方正小标宋简体"/>
          <w:b w:val="0"/>
          <w:bCs/>
          <w:sz w:val="44"/>
          <w:szCs w:val="44"/>
          <w:lang w:val="en-US" w:eastAsia="zh-CN"/>
        </w:rPr>
        <w:t>河南丰坤新型建材有限公司</w:t>
      </w:r>
    </w:p>
    <w:p>
      <w:pPr>
        <w:keepNext w:val="0"/>
        <w:keepLines w:val="0"/>
        <w:pageBreakBefore w:val="0"/>
        <w:widowControl/>
        <w:kinsoku/>
        <w:wordWrap/>
        <w:overflowPunct/>
        <w:topLinePunct w:val="0"/>
        <w:autoSpaceDE/>
        <w:autoSpaceDN/>
        <w:bidi w:val="0"/>
        <w:adjustRightInd/>
        <w:snapToGrid/>
        <w:spacing w:line="600" w:lineRule="exact"/>
        <w:ind w:right="482"/>
        <w:jc w:val="center"/>
        <w:textAlignment w:val="auto"/>
        <w:rPr>
          <w:rFonts w:hint="eastAsia" w:ascii="方正小标宋简体" w:hAnsi="方正小标宋简体" w:eastAsia="方正小标宋简体" w:cs="方正小标宋简体"/>
          <w:b w:val="0"/>
          <w:bCs/>
          <w:sz w:val="44"/>
          <w:szCs w:val="44"/>
          <w:lang w:val="en-US" w:eastAsia="zh-CN"/>
        </w:rPr>
      </w:pPr>
      <w:r>
        <w:rPr>
          <w:rFonts w:hint="eastAsia" w:ascii="方正小标宋简体" w:hAnsi="方正小标宋简体" w:eastAsia="方正小标宋简体" w:cs="方正小标宋简体"/>
          <w:b w:val="0"/>
          <w:bCs/>
          <w:sz w:val="44"/>
          <w:szCs w:val="44"/>
          <w:lang w:val="en-US" w:eastAsia="zh-CN"/>
        </w:rPr>
        <w:t>年产沥青混合料30万吨项目</w:t>
      </w:r>
    </w:p>
    <w:p>
      <w:pPr>
        <w:keepNext w:val="0"/>
        <w:keepLines w:val="0"/>
        <w:pageBreakBefore w:val="0"/>
        <w:widowControl/>
        <w:kinsoku/>
        <w:wordWrap/>
        <w:overflowPunct/>
        <w:topLinePunct w:val="0"/>
        <w:autoSpaceDE/>
        <w:autoSpaceDN/>
        <w:bidi w:val="0"/>
        <w:adjustRightInd/>
        <w:snapToGrid/>
        <w:spacing w:line="600" w:lineRule="exact"/>
        <w:ind w:right="482"/>
        <w:jc w:val="center"/>
        <w:textAlignment w:val="auto"/>
        <w:rPr>
          <w:rFonts w:hint="eastAsia" w:ascii="仿宋" w:hAnsi="仿宋" w:eastAsia="仿宋" w:cs="仿宋"/>
          <w:color w:val="auto"/>
          <w:sz w:val="32"/>
          <w:szCs w:val="32"/>
          <w:lang w:val="en-US" w:eastAsia="zh-CN"/>
        </w:rPr>
      </w:pPr>
      <w:r>
        <w:rPr>
          <w:rFonts w:hint="eastAsia" w:ascii="方正小标宋简体" w:hAnsi="方正小标宋简体" w:eastAsia="方正小标宋简体" w:cs="方正小标宋简体"/>
          <w:b w:val="0"/>
          <w:bCs/>
          <w:sz w:val="44"/>
          <w:szCs w:val="44"/>
        </w:rPr>
        <w:t>环境影响报告表的批复</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textAlignment w:val="auto"/>
        <w:outlineLvl w:val="9"/>
        <w:rPr>
          <w:rFonts w:hint="eastAsia" w:ascii="仿宋" w:hAnsi="仿宋" w:eastAsia="仿宋" w:cs="仿宋"/>
          <w:b w:val="0"/>
          <w:bCs w:val="0"/>
          <w:color w:val="auto"/>
          <w:kern w:val="0"/>
          <w:sz w:val="32"/>
          <w:szCs w:val="32"/>
          <w:lang w:eastAsia="zh-CN"/>
        </w:rPr>
      </w:pPr>
      <w:r>
        <w:rPr>
          <w:rFonts w:hint="eastAsia" w:ascii="仿宋" w:hAnsi="仿宋" w:eastAsia="仿宋" w:cs="仿宋"/>
          <w:color w:val="auto"/>
          <w:sz w:val="32"/>
          <w:szCs w:val="32"/>
          <w:lang w:val="en-US" w:eastAsia="zh-CN"/>
        </w:rPr>
        <w:t>河南丰坤新型建材有限公司</w:t>
      </w:r>
      <w:r>
        <w:rPr>
          <w:rFonts w:hint="eastAsia" w:ascii="仿宋" w:hAnsi="仿宋" w:eastAsia="仿宋" w:cs="仿宋"/>
          <w:b w:val="0"/>
          <w:bCs w:val="0"/>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b w:val="0"/>
          <w:bCs w:val="0"/>
          <w:color w:val="auto"/>
          <w:kern w:val="0"/>
          <w:sz w:val="32"/>
          <w:szCs w:val="32"/>
          <w:lang w:eastAsia="zh-CN"/>
        </w:rPr>
        <w:t xml:space="preserve"> </w:t>
      </w:r>
      <w:r>
        <w:rPr>
          <w:rFonts w:hint="eastAsia" w:ascii="仿宋" w:hAnsi="仿宋" w:eastAsia="仿宋" w:cs="仿宋"/>
          <w:b w:val="0"/>
          <w:bCs w:val="0"/>
          <w:color w:val="auto"/>
          <w:kern w:val="0"/>
          <w:sz w:val="32"/>
          <w:szCs w:val="32"/>
          <w:lang w:val="en-US" w:eastAsia="zh-CN"/>
        </w:rPr>
        <w:t xml:space="preserve">   </w:t>
      </w:r>
      <w:r>
        <w:rPr>
          <w:rFonts w:hint="eastAsia" w:ascii="仿宋" w:hAnsi="仿宋" w:eastAsia="仿宋" w:cs="仿宋"/>
          <w:b w:val="0"/>
          <w:bCs w:val="0"/>
          <w:color w:val="auto"/>
          <w:kern w:val="0"/>
          <w:sz w:val="32"/>
          <w:szCs w:val="32"/>
          <w:lang w:eastAsia="zh-CN"/>
        </w:rPr>
        <w:t>你单位报送的</w:t>
      </w:r>
      <w:r>
        <w:rPr>
          <w:rFonts w:hint="eastAsia" w:ascii="仿宋" w:hAnsi="仿宋" w:eastAsia="仿宋" w:cs="仿宋"/>
          <w:color w:val="auto"/>
          <w:sz w:val="32"/>
          <w:szCs w:val="32"/>
          <w:lang w:val="en-US" w:eastAsia="zh-CN"/>
        </w:rPr>
        <w:t>由河南尚真科彦工程技术有限公司编</w:t>
      </w:r>
      <w:r>
        <w:rPr>
          <w:rFonts w:hint="eastAsia" w:ascii="仿宋" w:hAnsi="仿宋" w:eastAsia="仿宋" w:cs="仿宋"/>
          <w:b w:val="0"/>
          <w:bCs w:val="0"/>
          <w:color w:val="auto"/>
          <w:kern w:val="0"/>
          <w:sz w:val="32"/>
          <w:szCs w:val="32"/>
          <w:lang w:eastAsia="zh-CN"/>
        </w:rPr>
        <w:t>制完成的《</w:t>
      </w:r>
      <w:r>
        <w:rPr>
          <w:rFonts w:hint="eastAsia" w:ascii="仿宋" w:hAnsi="仿宋" w:eastAsia="仿宋" w:cs="仿宋"/>
          <w:color w:val="auto"/>
          <w:sz w:val="32"/>
          <w:szCs w:val="32"/>
          <w:lang w:val="en-US" w:eastAsia="zh-CN"/>
        </w:rPr>
        <w:t>年产沥青混合料30万吨项目环</w:t>
      </w:r>
      <w:r>
        <w:rPr>
          <w:rFonts w:hint="eastAsia" w:ascii="仿宋" w:hAnsi="仿宋" w:eastAsia="仿宋" w:cs="仿宋"/>
          <w:b w:val="0"/>
          <w:bCs w:val="0"/>
          <w:color w:val="auto"/>
          <w:kern w:val="0"/>
          <w:sz w:val="32"/>
          <w:szCs w:val="32"/>
          <w:lang w:eastAsia="zh-CN"/>
        </w:rPr>
        <w:t>境影响报告表》（以下简称《报告表》）,经研究，批复如下：</w:t>
      </w:r>
    </w:p>
    <w:p>
      <w:pPr>
        <w:keepNext w:val="0"/>
        <w:keepLines w:val="0"/>
        <w:widowControl/>
        <w:suppressLineNumbers w:val="0"/>
        <w:ind w:firstLine="640" w:firstLineChars="200"/>
        <w:jc w:val="left"/>
        <w:rPr>
          <w:rFonts w:hint="default" w:ascii="仿宋_GB2312" w:hAnsi="仿宋_GB2312" w:eastAsia="仿宋_GB2312" w:cs="仿宋_GB2312"/>
          <w:kern w:val="0"/>
          <w:sz w:val="32"/>
          <w:szCs w:val="32"/>
          <w:lang w:val="en-US" w:eastAsia="zh-CN"/>
        </w:rPr>
      </w:pPr>
      <w:r>
        <w:rPr>
          <w:rFonts w:hint="eastAsia" w:ascii="仿宋" w:hAnsi="仿宋" w:eastAsia="仿宋" w:cs="仿宋"/>
          <w:color w:val="auto"/>
          <w:kern w:val="0"/>
          <w:sz w:val="32"/>
          <w:szCs w:val="32"/>
          <w:lang w:eastAsia="zh-CN"/>
        </w:rPr>
        <w:t>一</w:t>
      </w:r>
      <w:r>
        <w:rPr>
          <w:rFonts w:hint="eastAsia" w:ascii="仿宋" w:hAnsi="仿宋" w:eastAsia="仿宋" w:cs="仿宋"/>
          <w:color w:val="auto"/>
          <w:kern w:val="0"/>
          <w:sz w:val="32"/>
          <w:szCs w:val="32"/>
        </w:rPr>
        <w:t>、</w:t>
      </w:r>
      <w:r>
        <w:rPr>
          <w:rFonts w:hint="eastAsia" w:ascii="仿宋" w:hAnsi="仿宋" w:eastAsia="仿宋" w:cs="仿宋"/>
          <w:color w:val="auto"/>
          <w:sz w:val="32"/>
          <w:szCs w:val="32"/>
          <w:lang w:val="en-US" w:eastAsia="zh-CN"/>
        </w:rPr>
        <w:t>项目位于沈丘县卞路口乡高山店居委会，占地面积24939.25㎡，总投资100万元，环保投</w:t>
      </w:r>
      <w:r>
        <w:rPr>
          <w:rFonts w:hint="eastAsia" w:ascii="仿宋_GB2312" w:hAnsi="仿宋_GB2312" w:eastAsia="仿宋_GB2312" w:cs="仿宋_GB2312"/>
          <w:kern w:val="0"/>
          <w:sz w:val="32"/>
          <w:szCs w:val="32"/>
          <w:lang w:val="en-US" w:eastAsia="zh-CN"/>
        </w:rPr>
        <w:t>资58万元。</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200"/>
        <w:jc w:val="both"/>
        <w:textAlignment w:val="auto"/>
        <w:outlineLvl w:val="9"/>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eastAsia="zh-CN"/>
        </w:rPr>
        <w:t>二</w:t>
      </w:r>
      <w:r>
        <w:rPr>
          <w:rFonts w:hint="eastAsia" w:ascii="仿宋_GB2312" w:hAnsi="仿宋_GB2312" w:eastAsia="仿宋_GB2312" w:cs="仿宋_GB2312"/>
          <w:kern w:val="0"/>
          <w:sz w:val="32"/>
          <w:szCs w:val="32"/>
        </w:rPr>
        <w:t>、建设单位应全面落实《报告表》提出的各项环境保护措施，各项环境保护设施与主体工程同时设计、同时施工、同时投入使用，确保各项污染物达标排放。</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200"/>
        <w:jc w:val="both"/>
        <w:textAlignment w:val="auto"/>
        <w:outlineLvl w:val="9"/>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项目运行时，外排污染物应满足以下要求：</w:t>
      </w:r>
    </w:p>
    <w:p>
      <w:pPr>
        <w:pStyle w:val="17"/>
        <w:spacing w:before="65" w:line="227" w:lineRule="auto"/>
        <w:ind w:left="46" w:firstLine="640" w:firstLineChars="200"/>
        <w:rPr>
          <w:rFonts w:hint="eastAsia" w:ascii="仿宋_GB2312" w:hAnsi="仿宋_GB2312" w:eastAsia="宋体" w:cs="仿宋_GB2312"/>
          <w:kern w:val="0"/>
          <w:sz w:val="32"/>
          <w:szCs w:val="32"/>
          <w:lang w:val="en-US" w:eastAsia="zh-CN"/>
        </w:rPr>
      </w:pPr>
      <w:r>
        <w:rPr>
          <w:rFonts w:hint="eastAsia" w:ascii="仿宋_GB2312" w:hAnsi="仿宋_GB2312" w:eastAsia="仿宋_GB2312" w:cs="仿宋_GB2312"/>
          <w:kern w:val="0"/>
          <w:sz w:val="32"/>
          <w:szCs w:val="32"/>
          <w:lang w:val="en-US" w:eastAsia="zh-CN"/>
        </w:rPr>
        <w:t>1、废气：骨料上料粉尘，车间密闭，设置喷干雾抑尘装置，卸料时尽量降低装卸物料的落差，铲车卸料口进行二次密闭，负压收集至覆膜布袋除尘器处理后，经</w:t>
      </w:r>
      <w:r>
        <w:rPr>
          <w:rFonts w:hint="default" w:ascii="仿宋_GB2312" w:hAnsi="仿宋_GB2312" w:eastAsia="仿宋_GB2312" w:cs="仿宋_GB2312"/>
          <w:kern w:val="0"/>
          <w:sz w:val="32"/>
          <w:szCs w:val="32"/>
          <w:lang w:val="en-US" w:eastAsia="zh-CN"/>
        </w:rPr>
        <w:t xml:space="preserve">15m </w:t>
      </w:r>
      <w:r>
        <w:rPr>
          <w:rFonts w:hint="eastAsia" w:ascii="仿宋_GB2312" w:hAnsi="仿宋_GB2312" w:eastAsia="仿宋_GB2312" w:cs="仿宋_GB2312"/>
          <w:kern w:val="0"/>
          <w:sz w:val="32"/>
          <w:szCs w:val="32"/>
          <w:lang w:val="en-US" w:eastAsia="zh-CN"/>
        </w:rPr>
        <w:t>高排气筒排放；</w:t>
      </w:r>
      <w:r>
        <w:rPr>
          <w:rFonts w:hint="eastAsia" w:ascii="仿宋_GB2312" w:hAnsi="仿宋_GB2312" w:eastAsia="仿宋_GB2312" w:cs="仿宋_GB2312"/>
          <w:kern w:val="0"/>
          <w:sz w:val="32"/>
          <w:szCs w:val="32"/>
          <w:lang w:val="en-US" w:eastAsia="zh-CN"/>
        </w:rPr>
        <w:t>矿粉筒仓仓顶粉尘，采用密闭筒仓，仓顶粉尘经覆膜布袋除尘器处理后，经15m高排气筒排放;均应满足《大气污染物综合排放标准》</w:t>
      </w:r>
      <w:r>
        <w:rPr>
          <w:rFonts w:hint="default" w:ascii="仿宋_GB2312" w:hAnsi="仿宋_GB2312" w:eastAsia="仿宋_GB2312" w:cs="仿宋_GB2312"/>
          <w:kern w:val="0"/>
          <w:sz w:val="32"/>
          <w:szCs w:val="32"/>
          <w:lang w:val="en-US" w:eastAsia="zh-CN"/>
        </w:rPr>
        <w:t>(GB16297-1996)</w:t>
      </w:r>
      <w:r>
        <w:rPr>
          <w:rFonts w:hint="eastAsia" w:ascii="仿宋_GB2312" w:hAnsi="仿宋_GB2312" w:eastAsia="仿宋_GB2312" w:cs="仿宋_GB2312"/>
          <w:kern w:val="0"/>
          <w:sz w:val="32"/>
          <w:szCs w:val="32"/>
          <w:lang w:val="en-US" w:eastAsia="zh-CN"/>
        </w:rPr>
        <w:t xml:space="preserve">表 </w:t>
      </w:r>
      <w:r>
        <w:rPr>
          <w:rFonts w:hint="default"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lang w:val="en-US" w:eastAsia="zh-CN"/>
        </w:rPr>
        <w:t>二级、《河南省重污染天气重点行业应急减排措施制定技术指南》</w:t>
      </w:r>
      <w:r>
        <w:rPr>
          <w:rFonts w:hint="default" w:ascii="仿宋_GB2312" w:hAnsi="仿宋_GB2312" w:eastAsia="仿宋_GB2312" w:cs="仿宋_GB2312"/>
          <w:kern w:val="0"/>
          <w:sz w:val="32"/>
          <w:szCs w:val="32"/>
          <w:lang w:val="en-US" w:eastAsia="zh-CN"/>
        </w:rPr>
        <w:t xml:space="preserve">(2021 </w:t>
      </w:r>
      <w:r>
        <w:rPr>
          <w:rFonts w:hint="eastAsia" w:ascii="仿宋_GB2312" w:hAnsi="仿宋_GB2312" w:eastAsia="仿宋_GB2312" w:cs="仿宋_GB2312"/>
          <w:kern w:val="0"/>
          <w:sz w:val="32"/>
          <w:szCs w:val="32"/>
          <w:lang w:val="en-US" w:eastAsia="zh-CN"/>
        </w:rPr>
        <w:t>年修订版</w:t>
      </w:r>
      <w:r>
        <w:rPr>
          <w:rFonts w:hint="default" w:ascii="仿宋_GB2312" w:hAnsi="仿宋_GB2312" w:eastAsia="仿宋_GB2312" w:cs="仿宋_GB2312"/>
          <w:kern w:val="0"/>
          <w:sz w:val="32"/>
          <w:szCs w:val="32"/>
          <w:lang w:val="en-US" w:eastAsia="zh-CN"/>
        </w:rPr>
        <w:t>)</w:t>
      </w:r>
      <w:r>
        <w:rPr>
          <w:rFonts w:hint="eastAsia" w:ascii="仿宋_GB2312" w:hAnsi="仿宋_GB2312" w:eastAsia="仿宋_GB2312" w:cs="仿宋_GB2312"/>
          <w:kern w:val="0"/>
          <w:sz w:val="32"/>
          <w:szCs w:val="32"/>
          <w:lang w:val="en-US" w:eastAsia="zh-CN"/>
        </w:rPr>
        <w:t>沥青搅拌站</w:t>
      </w:r>
      <w:r>
        <w:rPr>
          <w:rFonts w:hint="default" w:ascii="仿宋_GB2312" w:hAnsi="仿宋_GB2312" w:eastAsia="仿宋_GB2312" w:cs="仿宋_GB2312"/>
          <w:kern w:val="0"/>
          <w:sz w:val="32"/>
          <w:szCs w:val="32"/>
          <w:lang w:val="en-US" w:eastAsia="zh-CN"/>
        </w:rPr>
        <w:t>A</w:t>
      </w:r>
      <w:r>
        <w:rPr>
          <w:rFonts w:hint="eastAsia" w:ascii="仿宋_GB2312" w:hAnsi="仿宋_GB2312" w:eastAsia="仿宋_GB2312" w:cs="仿宋_GB2312"/>
          <w:kern w:val="0"/>
          <w:sz w:val="32"/>
          <w:szCs w:val="32"/>
          <w:lang w:val="en-US" w:eastAsia="zh-CN"/>
        </w:rPr>
        <w:t>级标准要求；</w:t>
      </w:r>
      <w:r>
        <w:rPr>
          <w:rFonts w:hint="default" w:ascii="仿宋_GB2312" w:hAnsi="仿宋_GB2312" w:eastAsia="仿宋_GB2312" w:cs="仿宋_GB2312"/>
          <w:kern w:val="0"/>
          <w:sz w:val="32"/>
          <w:szCs w:val="32"/>
          <w:lang w:val="en-US" w:eastAsia="zh-CN"/>
        </w:rPr>
        <w:t>原生骨料烘干及筛分废气</w:t>
      </w:r>
      <w:r>
        <w:rPr>
          <w:rFonts w:hint="eastAsia" w:ascii="仿宋_GB2312" w:hAnsi="仿宋_GB2312" w:eastAsia="仿宋_GB2312" w:cs="仿宋_GB2312"/>
          <w:kern w:val="0"/>
          <w:sz w:val="32"/>
          <w:szCs w:val="32"/>
          <w:lang w:val="en-US" w:eastAsia="zh-CN"/>
        </w:rPr>
        <w:t>，干燥滚筒采用低氮燃烧器，烘干及筛分密闭作业，经密闭管道收集 后一并进入覆膜布袋除尘器处理后经 15m 高排气筒排放，应满足《工业炉窑大气污染物排放标准》(DB41/1066-2020)表 1 及《河南省重污染天气通用行业应急减排措施制定技术指南》(2021 年修订版A级干燥炉要求；沥青储罐废气，沥青罐呼吸口连接集气管道，负压收集后经水喷淋降温+ 电捕焦油器（含过滤棉、电加热保温）+光氧+活性炭吸附装置处理后，引至烘干筒燃烧器燃烧处理后接入进入 覆膜袋式除尘器处理后经 15m高排气筒排放；沥青槽废气、搅拌缸出料口废气、成品装车废气，</w:t>
      </w:r>
      <w:r>
        <w:rPr>
          <w:rFonts w:hint="eastAsia" w:ascii="仿宋_GB2312" w:hAnsi="仿宋_GB2312" w:eastAsia="仿宋_GB2312" w:cs="仿宋_GB2312"/>
          <w:kern w:val="0"/>
          <w:sz w:val="32"/>
          <w:szCs w:val="32"/>
          <w:lang w:val="en-US" w:eastAsia="zh-CN"/>
        </w:rPr>
        <w:t>车间二次密闭，设置负压集气、自动感应卷帘门系统，沥青废气负压收集经共用的水喷淋降温+电捕焦油器（含过滤棉、电加热保温）+光氧+活性炭吸附装置处理后，引至烘干筒燃烧器燃烧处理，接入覆膜袋式除尘器处理后经15m 高排气筒排放；危废暂存间废气，危废间抽风呈微负压，抽风废气设密闭管道收集至烘干主燃烧器燃烧处理后经排气筒排放；焦油接收系统废气，焦油池加盖密闭抽风将废气收集后连接至烘干主燃烧器装置燃烧处理后通过排气筒排放；均应满足《工业炉窑大气污染物排放标准》（DB41/1066-2020）标准、《大气污染物综合排放标准》(GB16297- 1996)表 2二级标准、《大气污染物综合排放标准》（GB16297- 1996）表 2二级标准、《河南省重污染天气重点行业应急减排措施制定技术指南(2021年修订版)》中商砼（沥青）搅拌站业A级绩效排放限值、《关于全省开展工业企业挥发性有机物专项治理工作中排放建议值的通知》（豫环攻坚办〔2017〕162号）要求；导热油炉燃气废气，低氮燃烧经，15m 高排气筒排放，应满足《锅炉大气污染 物排放标准》（DB41/2089-2021）表 1 标准、《河南省重污染天气重点行业应急减排措施制定技术指南(2021 年修订版)》中商砼（沥青）搅拌站要求。无组织排放废气，厂区道路硬化，定期清扫、洒水、厂区出入口设置有车辆冲洗装置、密闭苫盖，骨料均堆放于 全封闭钢结构原料库内、推拉门、地面硬化、 喷雾抑尘装置，应满足《大气污染物综合排放标准》(GB16297- 1996)表 2要求。</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contextualSpacing/>
        <w:textAlignment w:val="auto"/>
        <w:outlineLvl w:val="9"/>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2、废水：办公生活污水，经厂区化粪池处理后定期清掏，不外排；车辆冲洗废水，经沉淀池沉淀处理后循环利用不外排。</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firstLineChars="200"/>
        <w:contextualSpacing/>
        <w:textAlignment w:val="auto"/>
        <w:outlineLvl w:val="9"/>
        <w:rPr>
          <w:rFonts w:hint="default"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3、噪声：设备噪声，选用低噪声设备，经基础减振、建筑隔声措施、距离衰减等措施，应满足《工业企业场界环境噪声排放标准》（</w:t>
      </w:r>
      <w:r>
        <w:rPr>
          <w:rFonts w:hint="default" w:ascii="仿宋_GB2312" w:hAnsi="仿宋_GB2312" w:eastAsia="仿宋_GB2312" w:cs="仿宋_GB2312"/>
          <w:kern w:val="0"/>
          <w:sz w:val="32"/>
          <w:szCs w:val="32"/>
          <w:lang w:val="en-US" w:eastAsia="zh-CN"/>
        </w:rPr>
        <w:t>GB12348-2008</w:t>
      </w:r>
      <w:r>
        <w:rPr>
          <w:rFonts w:hint="eastAsia" w:ascii="仿宋_GB2312" w:hAnsi="仿宋_GB2312" w:eastAsia="仿宋_GB2312" w:cs="仿宋_GB2312"/>
          <w:kern w:val="0"/>
          <w:sz w:val="32"/>
          <w:szCs w:val="32"/>
          <w:lang w:val="en-US" w:eastAsia="zh-CN"/>
        </w:rPr>
        <w:t>）</w:t>
      </w:r>
      <w:r>
        <w:rPr>
          <w:rFonts w:hint="default"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lang w:val="en-US" w:eastAsia="zh-CN"/>
        </w:rPr>
        <w:t>类标准要求。</w:t>
      </w:r>
    </w:p>
    <w:p>
      <w:pPr>
        <w:pStyle w:val="17"/>
        <w:spacing w:before="82" w:line="219" w:lineRule="auto"/>
        <w:ind w:left="223" w:firstLine="640" w:firstLineChars="200"/>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4、固废：生活垃圾，收集后交由环卫部门统一处理；筛出大颗粒骨料由石料供应厂家回收；除尘器收尘收集后回 用于生产；废过滤袋交给环卫部门统一清运；试验室废弃沥青混凝土收集后外售给建材公司综合利用；沉淀池沉渣收集后暂存骨料仓回用于生产；光氧灯管不</w:t>
      </w:r>
      <w:bookmarkStart w:id="0" w:name="_GoBack"/>
      <w:bookmarkEnd w:id="0"/>
      <w:r>
        <w:rPr>
          <w:rFonts w:hint="eastAsia" w:ascii="仿宋_GB2312" w:hAnsi="仿宋_GB2312" w:eastAsia="仿宋_GB2312" w:cs="仿宋_GB2312"/>
          <w:kern w:val="0"/>
          <w:sz w:val="32"/>
          <w:szCs w:val="32"/>
          <w:lang w:val="en-US" w:eastAsia="zh-CN"/>
        </w:rPr>
        <w:t>使用含汞灯管，为一般固废，由环卫部门定期清运</w:t>
      </w:r>
      <w:r>
        <w:rPr>
          <w:rFonts w:hint="eastAsia" w:ascii="仿宋_GB2312" w:hAnsi="仿宋_GB2312" w:eastAsia="仿宋_GB2312" w:cs="仿宋_GB2312"/>
          <w:kern w:val="0"/>
          <w:sz w:val="32"/>
          <w:szCs w:val="32"/>
          <w:lang w:val="en-US" w:eastAsia="zh-CN"/>
        </w:rPr>
        <w:t>；废导热油，定期更换，由厂家直接带走不在厂区暂存；废润滑油及其包装桶，收集后暂存于危废暂存间，定期交由有资质的单位处理；水喷淋废水及沉渣、电捕焦油、电捕焦油器废过滤棉，收集后暂存于危废暂存间，定期交由有危废资质的单位处理；废活性炭，暂存于危废暂存间，定期交由有危废资质的单位处理。</w:t>
      </w:r>
      <w:r>
        <w:rPr>
          <w:rFonts w:hint="eastAsia" w:ascii="仿宋_GB2312" w:hAnsi="仿宋_GB2312" w:eastAsia="仿宋_GB2312" w:cs="仿宋_GB2312"/>
          <w:kern w:val="0"/>
          <w:sz w:val="32"/>
          <w:szCs w:val="32"/>
          <w:lang w:val="en-US" w:eastAsia="zh-CN"/>
        </w:rPr>
        <w:t>设置一般危废暂存间应满足《一般工业固体废物贮存和填埋污染控制标准》（GB18599-2020）要求；设置危废暂存间，应满足《危险废物贮存污染控制标准》（</w:t>
      </w:r>
      <w:r>
        <w:rPr>
          <w:rFonts w:hint="default" w:ascii="仿宋_GB2312" w:hAnsi="仿宋_GB2312" w:eastAsia="仿宋_GB2312" w:cs="仿宋_GB2312"/>
          <w:kern w:val="0"/>
          <w:sz w:val="32"/>
          <w:szCs w:val="32"/>
          <w:lang w:val="en-US" w:eastAsia="zh-CN"/>
        </w:rPr>
        <w:t>GB18597-2023</w:t>
      </w:r>
      <w:r>
        <w:rPr>
          <w:rFonts w:hint="eastAsia" w:ascii="仿宋_GB2312" w:hAnsi="仿宋_GB2312" w:eastAsia="仿宋_GB2312" w:cs="仿宋_GB2312"/>
          <w:kern w:val="0"/>
          <w:sz w:val="32"/>
          <w:szCs w:val="32"/>
          <w:lang w:val="en-US" w:eastAsia="zh-CN"/>
        </w:rPr>
        <w:t>）修改单要求。</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12" w:firstLineChars="200"/>
        <w:contextualSpacing/>
        <w:textAlignment w:val="auto"/>
        <w:outlineLvl w:val="9"/>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spacing w:val="-7"/>
          <w:position w:val="1"/>
          <w:sz w:val="32"/>
          <w:szCs w:val="32"/>
          <w:lang w:val="en-US" w:eastAsia="zh-CN"/>
        </w:rPr>
        <w:t>5、</w:t>
      </w:r>
      <w:r>
        <w:rPr>
          <w:rFonts w:hint="eastAsia" w:ascii="仿宋_GB2312" w:hAnsi="仿宋_GB2312" w:eastAsia="仿宋_GB2312" w:cs="仿宋_GB2312"/>
          <w:kern w:val="0"/>
          <w:sz w:val="32"/>
          <w:szCs w:val="32"/>
          <w:lang w:val="en-US" w:eastAsia="zh-CN"/>
        </w:rPr>
        <w:t>本项目必须</w:t>
      </w:r>
      <w:r>
        <w:rPr>
          <w:rFonts w:hint="eastAsia" w:ascii="仿宋_GB2312" w:hAnsi="仿宋_GB2312" w:eastAsia="仿宋_GB2312" w:cs="仿宋_GB2312"/>
          <w:color w:val="auto"/>
          <w:sz w:val="32"/>
          <w:szCs w:val="32"/>
          <w:lang w:val="en-US" w:eastAsia="zh-CN"/>
        </w:rPr>
        <w:t>依据《报告表》要求建立环境防范措施及应急措施，</w:t>
      </w:r>
      <w:r>
        <w:rPr>
          <w:rFonts w:hint="default" w:ascii="仿宋_GB2312" w:hAnsi="仿宋_GB2312" w:eastAsia="仿宋_GB2312" w:cs="仿宋_GB2312"/>
          <w:color w:val="auto"/>
          <w:sz w:val="32"/>
          <w:szCs w:val="32"/>
          <w:lang w:val="en-US" w:eastAsia="zh-CN"/>
        </w:rPr>
        <w:t>以防止事故的发生</w:t>
      </w:r>
      <w:r>
        <w:rPr>
          <w:rFonts w:hint="eastAsia" w:ascii="仿宋_GB2312" w:hAnsi="仿宋_GB2312"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spacing w:line="580" w:lineRule="exact"/>
        <w:ind w:left="0" w:leftChars="0" w:right="0" w:rightChars="0" w:firstLine="608" w:firstLineChars="200"/>
        <w:jc w:val="left"/>
        <w:textAlignment w:val="auto"/>
        <w:outlineLvl w:val="9"/>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w w:val="95"/>
          <w:kern w:val="0"/>
          <w:sz w:val="32"/>
          <w:szCs w:val="32"/>
          <w:lang w:eastAsia="zh-CN"/>
        </w:rPr>
        <w:t>三</w:t>
      </w:r>
      <w:r>
        <w:rPr>
          <w:rFonts w:hint="eastAsia" w:ascii="仿宋_GB2312" w:hAnsi="仿宋_GB2312" w:eastAsia="仿宋_GB2312" w:cs="仿宋_GB2312"/>
          <w:w w:val="95"/>
          <w:kern w:val="0"/>
          <w:sz w:val="32"/>
          <w:szCs w:val="32"/>
        </w:rPr>
        <w:t>、</w:t>
      </w:r>
      <w:r>
        <w:rPr>
          <w:rFonts w:hint="eastAsia" w:ascii="仿宋_GB2312" w:hAnsi="仿宋_GB2312" w:eastAsia="仿宋_GB2312" w:cs="仿宋_GB2312"/>
          <w:w w:val="95"/>
          <w:kern w:val="0"/>
          <w:sz w:val="32"/>
          <w:szCs w:val="32"/>
          <w:lang w:eastAsia="zh-CN"/>
        </w:rPr>
        <w:t>项目主要污染物排放总量控制指标</w:t>
      </w:r>
      <w:r>
        <w:rPr>
          <w:rFonts w:hint="eastAsia" w:ascii="仿宋_GB2312" w:hAnsi="仿宋_GB2312" w:eastAsia="仿宋_GB2312" w:cs="仿宋_GB2312"/>
          <w:w w:val="95"/>
          <w:kern w:val="0"/>
          <w:sz w:val="32"/>
          <w:szCs w:val="32"/>
        </w:rPr>
        <w:t>为</w:t>
      </w: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NOx：0.2121</w:t>
      </w:r>
      <w:r>
        <w:rPr>
          <w:rFonts w:hint="default" w:ascii="仿宋_GB2312" w:hAnsi="仿宋_GB2312" w:eastAsia="仿宋_GB2312" w:cs="仿宋_GB2312"/>
          <w:kern w:val="0"/>
          <w:sz w:val="32"/>
          <w:szCs w:val="32"/>
          <w:lang w:val="en-US" w:eastAsia="zh-CN"/>
        </w:rPr>
        <w:t>t/a</w:t>
      </w:r>
      <w:r>
        <w:rPr>
          <w:rFonts w:hint="eastAsia" w:ascii="仿宋_GB2312" w:hAnsi="仿宋_GB2312" w:eastAsia="仿宋_GB2312" w:cs="仿宋_GB2312"/>
          <w:kern w:val="0"/>
          <w:sz w:val="32"/>
          <w:szCs w:val="32"/>
          <w:lang w:val="en-US" w:eastAsia="zh-CN"/>
        </w:rPr>
        <w:t>、</w:t>
      </w:r>
      <w:r>
        <w:rPr>
          <w:rFonts w:hint="eastAsia" w:ascii="仿宋_GB2312" w:hAnsi="仿宋_GB2312" w:eastAsia="仿宋_GB2312" w:cs="仿宋_GB2312"/>
          <w:kern w:val="0"/>
          <w:sz w:val="32"/>
          <w:szCs w:val="32"/>
        </w:rPr>
        <w:t>VOCs</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kern w:val="0"/>
          <w:sz w:val="32"/>
          <w:szCs w:val="32"/>
        </w:rPr>
        <w:t>0.</w:t>
      </w:r>
      <w:r>
        <w:rPr>
          <w:rFonts w:hint="eastAsia" w:ascii="仿宋_GB2312" w:hAnsi="仿宋_GB2312" w:eastAsia="仿宋_GB2312" w:cs="仿宋_GB2312"/>
          <w:kern w:val="0"/>
          <w:sz w:val="32"/>
          <w:szCs w:val="32"/>
          <w:lang w:val="en-US" w:eastAsia="zh-CN"/>
        </w:rPr>
        <w:t>0248</w:t>
      </w:r>
      <w:r>
        <w:rPr>
          <w:rFonts w:hint="eastAsia" w:ascii="仿宋_GB2312" w:hAnsi="仿宋_GB2312" w:eastAsia="仿宋_GB2312" w:cs="仿宋_GB2312"/>
          <w:kern w:val="0"/>
          <w:sz w:val="32"/>
          <w:szCs w:val="32"/>
        </w:rPr>
        <w:t>t/a</w:t>
      </w:r>
      <w:r>
        <w:rPr>
          <w:rFonts w:hint="eastAsia" w:ascii="仿宋_GB2312" w:hAnsi="仿宋_GB2312" w:eastAsia="仿宋_GB2312" w:cs="仿宋_GB2312"/>
          <w:kern w:val="0"/>
          <w:sz w:val="32"/>
          <w:szCs w:val="32"/>
          <w:lang w:val="en-US" w:eastAsia="zh-CN"/>
        </w:rPr>
        <w:t>。</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200"/>
        <w:jc w:val="left"/>
        <w:textAlignment w:val="auto"/>
        <w:outlineLvl w:val="9"/>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eastAsia="zh-CN"/>
        </w:rPr>
        <w:t>四</w:t>
      </w:r>
      <w:r>
        <w:rPr>
          <w:rFonts w:hint="eastAsia" w:ascii="仿宋_GB2312" w:hAnsi="仿宋_GB2312" w:eastAsia="仿宋_GB2312" w:cs="仿宋_GB2312"/>
          <w:kern w:val="0"/>
          <w:sz w:val="32"/>
          <w:szCs w:val="32"/>
        </w:rPr>
        <w:t>、严格执行《报告</w:t>
      </w:r>
      <w:r>
        <w:rPr>
          <w:rFonts w:hint="eastAsia" w:ascii="仿宋_GB2312" w:hAnsi="仿宋_GB2312" w:eastAsia="仿宋_GB2312" w:cs="仿宋_GB2312"/>
          <w:kern w:val="0"/>
          <w:sz w:val="32"/>
          <w:szCs w:val="32"/>
          <w:lang w:eastAsia="zh-CN"/>
        </w:rPr>
        <w:t>表</w:t>
      </w:r>
      <w:r>
        <w:rPr>
          <w:rFonts w:hint="eastAsia" w:ascii="仿宋_GB2312" w:hAnsi="仿宋_GB2312" w:eastAsia="仿宋_GB2312" w:cs="仿宋_GB2312"/>
          <w:kern w:val="0"/>
          <w:sz w:val="32"/>
          <w:szCs w:val="32"/>
        </w:rPr>
        <w:t>》中提出的其他污染防治措施，确保各种污染物得到有效处理。项目建成后，应按照国家相关环保法律法规要求组织环保验收， 经环保验收合格后方可正式投入运营。</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200"/>
        <w:jc w:val="left"/>
        <w:textAlignment w:val="auto"/>
        <w:outlineLvl w:val="9"/>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eastAsia="zh-CN"/>
        </w:rPr>
        <w:t>五</w:t>
      </w:r>
      <w:r>
        <w:rPr>
          <w:rFonts w:hint="eastAsia" w:ascii="仿宋_GB2312" w:hAnsi="仿宋_GB2312" w:eastAsia="仿宋_GB2312" w:cs="仿宋_GB2312"/>
          <w:kern w:val="0"/>
          <w:sz w:val="32"/>
          <w:szCs w:val="32"/>
        </w:rPr>
        <w:t>、认真落实《报告</w:t>
      </w:r>
      <w:r>
        <w:rPr>
          <w:rFonts w:hint="eastAsia" w:ascii="仿宋_GB2312" w:hAnsi="仿宋_GB2312" w:eastAsia="仿宋_GB2312" w:cs="仿宋_GB2312"/>
          <w:kern w:val="0"/>
          <w:sz w:val="32"/>
          <w:szCs w:val="32"/>
          <w:lang w:eastAsia="zh-CN"/>
        </w:rPr>
        <w:t>表</w:t>
      </w:r>
      <w:r>
        <w:rPr>
          <w:rFonts w:hint="eastAsia" w:ascii="仿宋_GB2312" w:hAnsi="仿宋_GB2312" w:eastAsia="仿宋_GB2312" w:cs="仿宋_GB2312"/>
          <w:kern w:val="0"/>
          <w:sz w:val="32"/>
          <w:szCs w:val="32"/>
        </w:rPr>
        <w:t>》提出的环境管理和监测计划，定期对废水、废气、噪声等进行监测，实现稳定达标排放。项目涉及的外排污染物排放标准发生变化时，按新标准执行。</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200"/>
        <w:jc w:val="left"/>
        <w:textAlignment w:val="auto"/>
        <w:outlineLvl w:val="9"/>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eastAsia="zh-CN"/>
        </w:rPr>
        <w:t>六</w:t>
      </w:r>
      <w:r>
        <w:rPr>
          <w:rFonts w:hint="eastAsia" w:ascii="仿宋_GB2312" w:hAnsi="仿宋_GB2312" w:eastAsia="仿宋_GB2312" w:cs="仿宋_GB2312"/>
          <w:kern w:val="0"/>
          <w:sz w:val="32"/>
          <w:szCs w:val="32"/>
        </w:rPr>
        <w:t>、自本批复下达之日起5年内有效，如该项目逾期方开工建设，其环境影响报告书应报我局重新审核。项目性质、规模、地点、采用的生产工艺和污染防治措施发生重大变化的，应当重新报批环境影响评价文件。</w:t>
      </w:r>
    </w:p>
    <w:p>
      <w:pPr>
        <w:pStyle w:val="2"/>
        <w:rPr>
          <w:rFonts w:hint="eastAsia"/>
          <w:lang w:val="en-US" w:eastAsia="zh-CN"/>
        </w:rPr>
      </w:pPr>
    </w:p>
    <w:p>
      <w:pPr>
        <w:rPr>
          <w:rFonts w:hint="eastAsia"/>
          <w:lang w:val="en-US" w:eastAsia="zh-CN"/>
        </w:rPr>
      </w:pPr>
    </w:p>
    <w:p>
      <w:pPr>
        <w:pStyle w:val="14"/>
        <w:rPr>
          <w:rFonts w:hint="eastAsia"/>
          <w:lang w:val="en-US" w:eastAsia="zh-CN"/>
        </w:rPr>
      </w:pPr>
    </w:p>
    <w:p>
      <w:pPr>
        <w:widowControl w:val="0"/>
        <w:wordWrap/>
        <w:adjustRightInd/>
        <w:snapToGrid/>
        <w:spacing w:before="0" w:after="0" w:line="580" w:lineRule="exact"/>
        <w:ind w:right="0" w:firstLine="5760" w:firstLineChars="1800"/>
        <w:jc w:val="both"/>
        <w:textAlignment w:val="auto"/>
        <w:outlineLvl w:val="9"/>
      </w:pPr>
      <w:r>
        <w:rPr>
          <w:rFonts w:hint="eastAsia" w:ascii="仿宋_GB2312" w:hAnsi="仿宋_GB2312" w:eastAsia="仿宋_GB2312" w:cs="仿宋_GB2312"/>
          <w:kern w:val="0"/>
          <w:sz w:val="32"/>
          <w:szCs w:val="32"/>
          <w:lang w:val="en-US" w:eastAsia="zh-CN"/>
        </w:rPr>
        <w:t>2023</w:t>
      </w:r>
      <w:r>
        <w:rPr>
          <w:rFonts w:hint="eastAsia" w:ascii="仿宋_GB2312" w:hAnsi="仿宋_GB2312" w:eastAsia="仿宋_GB2312" w:cs="仿宋_GB2312"/>
          <w:kern w:val="0"/>
          <w:sz w:val="32"/>
          <w:szCs w:val="32"/>
        </w:rPr>
        <w:t>年</w:t>
      </w:r>
      <w:r>
        <w:rPr>
          <w:rFonts w:hint="eastAsia" w:ascii="仿宋_GB2312" w:hAnsi="仿宋_GB2312" w:eastAsia="仿宋_GB2312" w:cs="仿宋_GB2312"/>
          <w:kern w:val="0"/>
          <w:sz w:val="32"/>
          <w:szCs w:val="32"/>
          <w:lang w:val="en-US" w:eastAsia="zh-CN"/>
        </w:rPr>
        <w:t>11</w:t>
      </w:r>
      <w:r>
        <w:rPr>
          <w:rFonts w:hint="eastAsia" w:ascii="仿宋_GB2312" w:hAnsi="仿宋_GB2312" w:eastAsia="仿宋_GB2312" w:cs="仿宋_GB2312"/>
          <w:kern w:val="0"/>
          <w:sz w:val="32"/>
          <w:szCs w:val="32"/>
        </w:rPr>
        <w:t>月</w:t>
      </w:r>
      <w:r>
        <w:rPr>
          <w:rFonts w:hint="eastAsia" w:ascii="仿宋_GB2312" w:hAnsi="仿宋_GB2312" w:eastAsia="仿宋_GB2312" w:cs="仿宋_GB2312"/>
          <w:kern w:val="0"/>
          <w:sz w:val="32"/>
          <w:szCs w:val="32"/>
          <w:lang w:val="en-US" w:eastAsia="zh-CN"/>
        </w:rPr>
        <w:t>24</w:t>
      </w:r>
      <w:r>
        <w:rPr>
          <w:rFonts w:hint="eastAsia" w:ascii="仿宋_GB2312" w:hAnsi="仿宋_GB2312" w:eastAsia="仿宋_GB2312" w:cs="仿宋_GB2312"/>
          <w:kern w:val="0"/>
          <w:sz w:val="32"/>
          <w:szCs w:val="32"/>
        </w:rPr>
        <w:t>日</w:t>
      </w:r>
    </w:p>
    <w:sectPr>
      <w:footerReference r:id="rId3" w:type="default"/>
      <w:pgSz w:w="11906" w:h="16838"/>
      <w:pgMar w:top="986" w:right="1701" w:bottom="930" w:left="1701"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a:effectLst/>
                    </wps:spPr>
                    <wps:txbx>
                      <w:txbxContent>
                        <w:p>
                          <w:pPr>
                            <w:pStyle w:val="8"/>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w:t>
                          </w:r>
                          <w:r>
                            <w:rPr>
                              <w:rFonts w:hint="eastAsia"/>
                              <w:sz w:val="24"/>
                              <w:szCs w:val="24"/>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HTK2dTWAQAAsQ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qlC5GWYcBKncfZkxWE3TIR2&#10;rj0hzx4XoqEW958S/cmi3ml3ZiPMxm42Dj6ofZeXK/UC/+EQcbg8c+owwiLX5OBLZtbT1qVVeern&#10;qsc/bfM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aGmCS9MAAAAFAQAADwAAAAAAAAABACAAAAAi&#10;AAAAZHJzL2Rvd25yZXYueG1sUEsBAhQAFAAAAAgAh07iQHTK2dTWAQAAsQMAAA4AAAAAAAAAAQAg&#10;AAAAIgEAAGRycy9lMm9Eb2MueG1sUEsFBgAAAAAGAAYAWQEAAGoFAAAAAA==&#10;">
              <v:fill on="f" focussize="0,0"/>
              <v:stroke on="f" weight="1.25pt"/>
              <v:imagedata o:title=""/>
              <o:lock v:ext="edit" aspectratio="f"/>
              <v:textbox inset="0mm,0mm,0mm,0mm" style="mso-fit-shape-to-text:t;">
                <w:txbxContent>
                  <w:p>
                    <w:pPr>
                      <w:pStyle w:val="8"/>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w:t>
                    </w:r>
                    <w:r>
                      <w:rPr>
                        <w:rFonts w:hint="eastAsia"/>
                        <w:sz w:val="24"/>
                        <w:szCs w:val="24"/>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EwYzgxZWFiNzZjYTg0YmVjZTNkMDUwZWZjMjAyZjMifQ=="/>
  </w:docVars>
  <w:rsids>
    <w:rsidRoot w:val="22D3702C"/>
    <w:rsid w:val="020A0291"/>
    <w:rsid w:val="02502671"/>
    <w:rsid w:val="08412454"/>
    <w:rsid w:val="0B043FF8"/>
    <w:rsid w:val="10183569"/>
    <w:rsid w:val="10D10E21"/>
    <w:rsid w:val="11AC7198"/>
    <w:rsid w:val="11E84674"/>
    <w:rsid w:val="121E62E8"/>
    <w:rsid w:val="129A78D2"/>
    <w:rsid w:val="130F3E82"/>
    <w:rsid w:val="14132899"/>
    <w:rsid w:val="14905962"/>
    <w:rsid w:val="14C77F61"/>
    <w:rsid w:val="158030B9"/>
    <w:rsid w:val="16947DC2"/>
    <w:rsid w:val="170A0BE8"/>
    <w:rsid w:val="17BA5F57"/>
    <w:rsid w:val="17F041CF"/>
    <w:rsid w:val="17FD24FB"/>
    <w:rsid w:val="1B163FDB"/>
    <w:rsid w:val="1EFA59E6"/>
    <w:rsid w:val="1F120F82"/>
    <w:rsid w:val="1F521EA7"/>
    <w:rsid w:val="204F2A0A"/>
    <w:rsid w:val="20C87E83"/>
    <w:rsid w:val="210448FA"/>
    <w:rsid w:val="22D3702C"/>
    <w:rsid w:val="232079E6"/>
    <w:rsid w:val="237512F8"/>
    <w:rsid w:val="27D52B4D"/>
    <w:rsid w:val="28B07116"/>
    <w:rsid w:val="29051210"/>
    <w:rsid w:val="346F7270"/>
    <w:rsid w:val="35EB3E83"/>
    <w:rsid w:val="372A429A"/>
    <w:rsid w:val="373C0CF8"/>
    <w:rsid w:val="39B05C9C"/>
    <w:rsid w:val="39C90037"/>
    <w:rsid w:val="3A5D2F25"/>
    <w:rsid w:val="3B6D221F"/>
    <w:rsid w:val="3D274EC3"/>
    <w:rsid w:val="3EF9316D"/>
    <w:rsid w:val="3F0062A9"/>
    <w:rsid w:val="40D07EFD"/>
    <w:rsid w:val="44083C3F"/>
    <w:rsid w:val="4541586E"/>
    <w:rsid w:val="46D745CE"/>
    <w:rsid w:val="46FE3A16"/>
    <w:rsid w:val="49E669E4"/>
    <w:rsid w:val="4A7364C9"/>
    <w:rsid w:val="4BF1759A"/>
    <w:rsid w:val="4C6E596B"/>
    <w:rsid w:val="4E6B6D5E"/>
    <w:rsid w:val="50744D49"/>
    <w:rsid w:val="50DD0C1D"/>
    <w:rsid w:val="50F9756B"/>
    <w:rsid w:val="51387B25"/>
    <w:rsid w:val="51C15D6C"/>
    <w:rsid w:val="52B76113"/>
    <w:rsid w:val="56FE6056"/>
    <w:rsid w:val="59BA58ED"/>
    <w:rsid w:val="5B87519A"/>
    <w:rsid w:val="5C0A6562"/>
    <w:rsid w:val="5D374942"/>
    <w:rsid w:val="5EEC63F2"/>
    <w:rsid w:val="60DD0C31"/>
    <w:rsid w:val="61243C22"/>
    <w:rsid w:val="628626A3"/>
    <w:rsid w:val="63870498"/>
    <w:rsid w:val="647E7AED"/>
    <w:rsid w:val="651641C9"/>
    <w:rsid w:val="65393A14"/>
    <w:rsid w:val="65485328"/>
    <w:rsid w:val="695A48DF"/>
    <w:rsid w:val="6CD24E7A"/>
    <w:rsid w:val="6FD902CD"/>
    <w:rsid w:val="75897CC2"/>
    <w:rsid w:val="77ED700C"/>
    <w:rsid w:val="7A031BAF"/>
    <w:rsid w:val="7BAB0D70"/>
    <w:rsid w:val="7DEF74BD"/>
    <w:rsid w:val="7F8A339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rPr>
  </w:style>
  <w:style w:type="paragraph" w:styleId="2">
    <w:name w:val="heading 1"/>
    <w:basedOn w:val="1"/>
    <w:next w:val="1"/>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13">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3">
    <w:name w:val="Body Text"/>
    <w:basedOn w:val="1"/>
    <w:next w:val="1"/>
    <w:qFormat/>
    <w:uiPriority w:val="0"/>
    <w:pPr>
      <w:widowControl/>
      <w:snapToGrid w:val="0"/>
      <w:spacing w:before="60" w:after="160" w:line="259" w:lineRule="auto"/>
      <w:ind w:right="113"/>
    </w:pPr>
    <w:rPr>
      <w:kern w:val="0"/>
      <w:sz w:val="18"/>
      <w:szCs w:val="20"/>
    </w:rPr>
  </w:style>
  <w:style w:type="paragraph" w:styleId="4">
    <w:name w:val="Body Text Indent"/>
    <w:basedOn w:val="1"/>
    <w:next w:val="5"/>
    <w:qFormat/>
    <w:uiPriority w:val="0"/>
    <w:pPr>
      <w:spacing w:after="120"/>
      <w:ind w:left="420" w:leftChars="200"/>
    </w:pPr>
    <w:rPr>
      <w:kern w:val="0"/>
      <w:sz w:val="24"/>
      <w:szCs w:val="20"/>
    </w:rPr>
  </w:style>
  <w:style w:type="paragraph" w:styleId="5">
    <w:name w:val="header"/>
    <w:basedOn w:val="1"/>
    <w:next w:val="6"/>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6">
    <w:name w:val="样式5"/>
    <w:basedOn w:val="7"/>
    <w:next w:val="1"/>
    <w:qFormat/>
    <w:uiPriority w:val="0"/>
    <w:pPr>
      <w:keepNext/>
      <w:jc w:val="left"/>
      <w:outlineLvl w:val="0"/>
    </w:pPr>
    <w:rPr>
      <w:rFonts w:ascii="黑体" w:hAnsi="黑体"/>
      <w:spacing w:val="5"/>
      <w:sz w:val="25"/>
      <w:szCs w:val="25"/>
    </w:rPr>
  </w:style>
  <w:style w:type="paragraph" w:customStyle="1" w:styleId="7">
    <w:name w:val="正文1"/>
    <w:basedOn w:val="1"/>
    <w:next w:val="1"/>
    <w:qFormat/>
    <w:uiPriority w:val="0"/>
    <w:pPr>
      <w:ind w:firstLine="552"/>
    </w:pPr>
    <w:rPr>
      <w:rFonts w:ascii="楷体_GB2312" w:eastAsia="楷体_GB2312"/>
      <w:b/>
    </w:rPr>
  </w:style>
  <w:style w:type="paragraph" w:styleId="8">
    <w:name w:val="footer"/>
    <w:basedOn w:val="1"/>
    <w:qFormat/>
    <w:uiPriority w:val="0"/>
    <w:pPr>
      <w:tabs>
        <w:tab w:val="center" w:pos="4153"/>
        <w:tab w:val="right" w:pos="8306"/>
      </w:tabs>
      <w:snapToGrid w:val="0"/>
      <w:jc w:val="left"/>
    </w:pPr>
    <w:rPr>
      <w:sz w:val="18"/>
    </w:rPr>
  </w:style>
  <w:style w:type="paragraph" w:styleId="9">
    <w:name w:val="Body Text First Indent"/>
    <w:basedOn w:val="3"/>
    <w:next w:val="1"/>
    <w:qFormat/>
    <w:uiPriority w:val="0"/>
    <w:pPr>
      <w:ind w:firstLine="420" w:firstLineChars="100"/>
    </w:pPr>
    <w:rPr>
      <w:szCs w:val="24"/>
    </w:rPr>
  </w:style>
  <w:style w:type="paragraph" w:styleId="10">
    <w:name w:val="Body Text First Indent 2"/>
    <w:basedOn w:val="4"/>
    <w:next w:val="1"/>
    <w:qFormat/>
    <w:uiPriority w:val="0"/>
    <w:pPr>
      <w:spacing w:after="120"/>
      <w:ind w:left="420" w:leftChars="200" w:firstLineChars="200"/>
    </w:p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4">
    <w:name w:val="Default"/>
    <w:basedOn w:val="15"/>
    <w:next w:val="10"/>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5">
    <w:name w:val="批注文字1"/>
    <w:qFormat/>
    <w:uiPriority w:val="0"/>
    <w:pPr>
      <w:widowControl w:val="0"/>
    </w:pPr>
    <w:rPr>
      <w:rFonts w:ascii="Times New Roman" w:hAnsi="Times New Roman" w:eastAsia="宋体" w:cs="Times New Roman"/>
      <w:color w:val="000000"/>
      <w:kern w:val="2"/>
      <w:sz w:val="21"/>
      <w:szCs w:val="24"/>
      <w:lang w:val="en-US" w:eastAsia="zh-CN" w:bidi="ar-SA"/>
    </w:rPr>
  </w:style>
  <w:style w:type="paragraph" w:customStyle="1" w:styleId="16">
    <w:name w:val="标题 段落4级"/>
    <w:qFormat/>
    <w:uiPriority w:val="0"/>
    <w:pPr>
      <w:spacing w:line="500" w:lineRule="exact"/>
      <w:outlineLvl w:val="3"/>
    </w:pPr>
    <w:rPr>
      <w:rFonts w:ascii="Times New Roman" w:hAnsi="Times New Roman" w:eastAsia="仿宋_GB2312" w:cs="Calibri"/>
      <w:b/>
      <w:kern w:val="2"/>
      <w:sz w:val="28"/>
      <w:szCs w:val="24"/>
      <w:lang w:val="en-US" w:eastAsia="zh-CN" w:bidi="ar-SA"/>
    </w:rPr>
  </w:style>
  <w:style w:type="paragraph" w:customStyle="1" w:styleId="17">
    <w:name w:val="Table Text"/>
    <w:basedOn w:val="1"/>
    <w:semiHidden/>
    <w:qFormat/>
    <w:uiPriority w:val="0"/>
    <w:rPr>
      <w:rFonts w:ascii="宋体" w:hAnsi="宋体" w:eastAsia="宋体" w:cs="宋体"/>
      <w:sz w:val="20"/>
      <w:szCs w:val="20"/>
      <w:lang w:val="en-US" w:eastAsia="en-US" w:bidi="ar-SA"/>
    </w:rPr>
  </w:style>
  <w:style w:type="table" w:customStyle="1" w:styleId="18">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1222</Words>
  <Characters>1335</Characters>
  <Lines>0</Lines>
  <Paragraphs>0</Paragraphs>
  <TotalTime>5</TotalTime>
  <ScaleCrop>false</ScaleCrop>
  <LinksUpToDate>false</LinksUpToDate>
  <CharactersWithSpaces>1357</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2023-03-13T02:11:00Z</dcterms:created>
  <dc:creator>???</dc:creator>
  <cp:lastModifiedBy>我说今晚月光那么美，你说是的</cp:lastModifiedBy>
  <cp:lastPrinted>2023-11-27T02:46:45Z</cp:lastPrinted>
  <dcterms:modified xsi:type="dcterms:W3CDTF">2023-11-27T02:46:47Z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3DFE71EBA8204994A09C001898FBC8C5</vt:lpwstr>
  </property>
</Properties>
</file>