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ind w:firstLine="933" w:firstLineChars="300"/>
        <w:jc w:val="center"/>
        <w:rPr>
          <w:rFonts w:hint="default" w:ascii="Times New Roman" w:hAnsi="Times New Roman" w:eastAsia="宋体" w:cs="Times New Roman"/>
          <w:b/>
          <w:bCs/>
          <w:color w:val="0070C0"/>
          <w:spacing w:val="15"/>
          <w:sz w:val="28"/>
          <w:szCs w:val="28"/>
        </w:rPr>
      </w:pPr>
      <w:r>
        <w:rPr>
          <w:rFonts w:hint="default" w:ascii="Times New Roman" w:hAnsi="Times New Roman" w:cs="Times New Roman"/>
          <w:b/>
          <w:bCs/>
          <w:color w:val="0070C0"/>
          <w:spacing w:val="15"/>
          <w:sz w:val="28"/>
          <w:szCs w:val="28"/>
          <w:lang w:eastAsia="zh-CN"/>
        </w:rPr>
        <w:t>周口市生态环境局</w:t>
      </w:r>
      <w:r>
        <w:rPr>
          <w:rFonts w:hint="default" w:ascii="Times New Roman" w:hAnsi="Times New Roman" w:eastAsia="宋体" w:cs="Times New Roman"/>
          <w:b/>
          <w:bCs/>
          <w:color w:val="0070C0"/>
          <w:spacing w:val="15"/>
          <w:sz w:val="28"/>
          <w:szCs w:val="28"/>
          <w:lang w:val="en-US" w:eastAsia="zh-CN"/>
        </w:rPr>
        <w:t>关于</w:t>
      </w:r>
      <w:r>
        <w:rPr>
          <w:rFonts w:hint="eastAsia" w:cs="Times New Roman"/>
          <w:b/>
          <w:bCs/>
          <w:color w:val="0070C0"/>
          <w:spacing w:val="15"/>
          <w:sz w:val="28"/>
          <w:szCs w:val="28"/>
          <w:lang w:val="en-US" w:eastAsia="zh-CN"/>
        </w:rPr>
        <w:t>西华县跃峰再生资源</w:t>
      </w:r>
      <w:r>
        <w:rPr>
          <w:rFonts w:hint="default" w:ascii="Times New Roman" w:hAnsi="Times New Roman" w:eastAsia="宋体" w:cs="Times New Roman"/>
          <w:b/>
          <w:bCs/>
          <w:color w:val="0070C0"/>
          <w:spacing w:val="15"/>
          <w:sz w:val="28"/>
          <w:szCs w:val="28"/>
          <w:lang w:val="en-US" w:eastAsia="zh-CN"/>
        </w:rPr>
        <w:t>有限公司</w:t>
      </w:r>
      <w:r>
        <w:rPr>
          <w:rFonts w:hint="eastAsia" w:cs="Times New Roman"/>
          <w:b/>
          <w:bCs/>
          <w:color w:val="0070C0"/>
          <w:spacing w:val="15"/>
          <w:sz w:val="28"/>
          <w:szCs w:val="28"/>
          <w:lang w:val="en-US" w:eastAsia="zh-CN"/>
        </w:rPr>
        <w:t>小微危废企业集中收集项目建设</w:t>
      </w:r>
      <w:r>
        <w:rPr>
          <w:rFonts w:hint="default" w:ascii="Times New Roman" w:hAnsi="Times New Roman" w:eastAsia="宋体" w:cs="Times New Roman"/>
          <w:b/>
          <w:bCs/>
          <w:color w:val="0070C0"/>
          <w:spacing w:val="15"/>
          <w:sz w:val="28"/>
          <w:szCs w:val="28"/>
          <w:lang w:val="en-US" w:eastAsia="zh-CN"/>
        </w:rPr>
        <w:t>项目环境影响评价文件受理拟审批决定</w:t>
      </w:r>
      <w:r>
        <w:rPr>
          <w:rFonts w:hint="default" w:ascii="Times New Roman" w:hAnsi="Times New Roman" w:eastAsia="宋体" w:cs="Times New Roman"/>
          <w:b/>
          <w:bCs/>
          <w:color w:val="0070C0"/>
          <w:spacing w:val="15"/>
          <w:sz w:val="28"/>
          <w:szCs w:val="28"/>
        </w:rPr>
        <w:t>的公示</w:t>
      </w:r>
    </w:p>
    <w:p>
      <w:pPr>
        <w:pStyle w:val="4"/>
        <w:widowControl/>
        <w:spacing w:before="0" w:beforeAutospacing="0" w:after="0" w:afterAutospacing="0" w:line="400" w:lineRule="exact"/>
        <w:ind w:firstLine="480" w:firstLineChars="200"/>
        <w:jc w:val="both"/>
        <w:rPr>
          <w:rFonts w:hint="default" w:ascii="Times New Roman" w:hAnsi="Times New Roman" w:cs="Times New Roman"/>
          <w:color w:val="0070C0"/>
          <w:spacing w:val="15"/>
          <w:sz w:val="21"/>
          <w:szCs w:val="21"/>
        </w:rPr>
      </w:pPr>
    </w:p>
    <w:p>
      <w:pPr>
        <w:keepNext w:val="0"/>
        <w:keepLines w:val="0"/>
        <w:widowControl/>
        <w:suppressLineNumbers w:val="0"/>
        <w:spacing w:line="360" w:lineRule="auto"/>
        <w:ind w:firstLine="480" w:firstLineChars="200"/>
        <w:jc w:val="left"/>
        <w:rPr>
          <w:rFonts w:hint="default" w:ascii="Times New Roman" w:hAnsi="Times New Roman" w:eastAsia="宋体" w:cs="Times New Roman"/>
          <w:color w:val="0070C0"/>
          <w:spacing w:val="15"/>
          <w:sz w:val="21"/>
          <w:szCs w:val="21"/>
        </w:rPr>
      </w:pPr>
      <w:r>
        <w:rPr>
          <w:rFonts w:hint="default" w:ascii="Times New Roman" w:hAnsi="Times New Roman" w:cs="Times New Roman"/>
          <w:color w:val="0070C0"/>
          <w:spacing w:val="15"/>
          <w:sz w:val="21"/>
          <w:szCs w:val="21"/>
        </w:rPr>
        <w:t>根据建设项目环境影响评价审批程序的有关规定，经审议，</w:t>
      </w:r>
      <w:r>
        <w:rPr>
          <w:rFonts w:hint="default" w:ascii="Times New Roman" w:hAnsi="Times New Roman" w:eastAsia="宋体" w:cs="Times New Roman"/>
          <w:color w:val="0070C0"/>
          <w:spacing w:val="15"/>
          <w:sz w:val="21"/>
          <w:szCs w:val="21"/>
        </w:rPr>
        <w:t>我局拟对</w:t>
      </w:r>
      <w:r>
        <w:rPr>
          <w:rFonts w:hint="default" w:ascii="Times New Roman" w:hAnsi="Times New Roman" w:eastAsia="宋体" w:cs="Times New Roman"/>
          <w:color w:val="0070C0"/>
          <w:spacing w:val="15"/>
          <w:sz w:val="21"/>
          <w:szCs w:val="21"/>
          <w:lang w:val="en-US" w:eastAsia="zh-CN"/>
        </w:rPr>
        <w:t>西华县跃峰再生资源有限公司小微危废企业集中收集项目建设项目</w:t>
      </w:r>
      <w:r>
        <w:rPr>
          <w:rFonts w:hint="default" w:ascii="Times New Roman" w:hAnsi="Times New Roman" w:eastAsia="宋体" w:cs="Times New Roman"/>
          <w:color w:val="0070C0"/>
          <w:spacing w:val="15"/>
          <w:sz w:val="21"/>
          <w:szCs w:val="21"/>
        </w:rPr>
        <w:t>环境影响评价文件作出</w:t>
      </w:r>
      <w:r>
        <w:rPr>
          <w:rFonts w:hint="default" w:ascii="Times New Roman" w:hAnsi="Times New Roman" w:eastAsia="宋体" w:cs="Times New Roman"/>
          <w:color w:val="0070C0"/>
          <w:spacing w:val="15"/>
          <w:sz w:val="21"/>
          <w:szCs w:val="21"/>
          <w:lang w:eastAsia="zh-CN"/>
        </w:rPr>
        <w:t>受理拟</w:t>
      </w:r>
      <w:r>
        <w:rPr>
          <w:rFonts w:hint="default" w:ascii="Times New Roman" w:hAnsi="Times New Roman" w:eastAsia="宋体" w:cs="Times New Roman"/>
          <w:color w:val="0070C0"/>
          <w:spacing w:val="15"/>
          <w:sz w:val="21"/>
          <w:szCs w:val="21"/>
        </w:rPr>
        <w:t>审批意见。为保证</w:t>
      </w:r>
      <w:r>
        <w:rPr>
          <w:rFonts w:hint="default" w:ascii="Times New Roman" w:hAnsi="Times New Roman" w:eastAsia="宋体" w:cs="Times New Roman"/>
          <w:color w:val="0070C0"/>
          <w:spacing w:val="15"/>
          <w:sz w:val="21"/>
          <w:szCs w:val="21"/>
          <w:lang w:eastAsia="zh-CN"/>
        </w:rPr>
        <w:t>受理拟</w:t>
      </w:r>
      <w:r>
        <w:rPr>
          <w:rFonts w:hint="default" w:ascii="Times New Roman" w:hAnsi="Times New Roman" w:eastAsia="宋体" w:cs="Times New Roman"/>
          <w:color w:val="0070C0"/>
          <w:spacing w:val="15"/>
          <w:sz w:val="21"/>
          <w:szCs w:val="21"/>
        </w:rPr>
        <w:t>审批意见的严肃</w:t>
      </w:r>
      <w:r>
        <w:rPr>
          <w:rFonts w:hint="default" w:ascii="Times New Roman" w:hAnsi="Times New Roman" w:cs="Times New Roman"/>
          <w:color w:val="0070C0"/>
          <w:spacing w:val="15"/>
          <w:sz w:val="21"/>
          <w:szCs w:val="21"/>
        </w:rPr>
        <w:t>性和公正性，现将建设项目环境影响评价文件的基本情况予以公示。如有异议，请在公示期内反馈我局行政审批服务科。公示期为</w:t>
      </w:r>
      <w:r>
        <w:rPr>
          <w:rFonts w:hint="default" w:ascii="Times New Roman" w:hAnsi="Times New Roman" w:eastAsia="宋体" w:cs="Times New Roman"/>
          <w:color w:val="0070C0"/>
          <w:spacing w:val="15"/>
          <w:sz w:val="21"/>
          <w:szCs w:val="21"/>
        </w:rPr>
        <w:t>20</w:t>
      </w:r>
      <w:r>
        <w:rPr>
          <w:rFonts w:hint="default" w:ascii="Times New Roman" w:hAnsi="Times New Roman" w:eastAsia="宋体" w:cs="Times New Roman"/>
          <w:color w:val="0070C0"/>
          <w:spacing w:val="15"/>
          <w:sz w:val="21"/>
          <w:szCs w:val="21"/>
          <w:lang w:val="en-US" w:eastAsia="zh-CN"/>
        </w:rPr>
        <w:t>2</w:t>
      </w:r>
      <w:r>
        <w:rPr>
          <w:rFonts w:hint="eastAsia" w:cs="Times New Roman"/>
          <w:color w:val="0070C0"/>
          <w:spacing w:val="15"/>
          <w:sz w:val="21"/>
          <w:szCs w:val="21"/>
          <w:lang w:val="en-US" w:eastAsia="zh-CN"/>
        </w:rPr>
        <w:t>4</w:t>
      </w:r>
      <w:r>
        <w:rPr>
          <w:rFonts w:hint="default" w:ascii="Times New Roman" w:hAnsi="Times New Roman" w:eastAsia="宋体" w:cs="Times New Roman"/>
          <w:color w:val="0070C0"/>
          <w:spacing w:val="15"/>
          <w:sz w:val="21"/>
          <w:szCs w:val="21"/>
        </w:rPr>
        <w:t>年</w:t>
      </w:r>
      <w:r>
        <w:rPr>
          <w:rFonts w:hint="eastAsia" w:cs="Times New Roman"/>
          <w:color w:val="0070C0"/>
          <w:spacing w:val="15"/>
          <w:sz w:val="21"/>
          <w:szCs w:val="21"/>
          <w:lang w:val="en-US" w:eastAsia="zh-CN"/>
        </w:rPr>
        <w:t>4</w:t>
      </w:r>
      <w:r>
        <w:rPr>
          <w:rFonts w:hint="default" w:ascii="Times New Roman" w:hAnsi="Times New Roman" w:eastAsia="宋体" w:cs="Times New Roman"/>
          <w:color w:val="0070C0"/>
          <w:spacing w:val="15"/>
          <w:sz w:val="21"/>
          <w:szCs w:val="21"/>
        </w:rPr>
        <w:t>月</w:t>
      </w:r>
      <w:r>
        <w:rPr>
          <w:rFonts w:hint="eastAsia" w:cs="Times New Roman"/>
          <w:color w:val="0070C0"/>
          <w:spacing w:val="15"/>
          <w:sz w:val="21"/>
          <w:szCs w:val="21"/>
          <w:lang w:val="en-US" w:eastAsia="zh-CN"/>
        </w:rPr>
        <w:t>18</w:t>
      </w:r>
      <w:r>
        <w:rPr>
          <w:rFonts w:hint="default" w:ascii="Times New Roman" w:hAnsi="Times New Roman" w:eastAsia="宋体" w:cs="Times New Roman"/>
          <w:color w:val="0070C0"/>
          <w:spacing w:val="15"/>
          <w:sz w:val="21"/>
          <w:szCs w:val="21"/>
        </w:rPr>
        <w:t>日－2</w:t>
      </w:r>
      <w:r>
        <w:rPr>
          <w:rFonts w:hint="default" w:ascii="Times New Roman" w:hAnsi="Times New Roman" w:eastAsia="宋体" w:cs="Times New Roman"/>
          <w:color w:val="0070C0"/>
          <w:spacing w:val="15"/>
          <w:sz w:val="21"/>
          <w:szCs w:val="21"/>
          <w:lang w:val="en-US" w:eastAsia="zh-CN"/>
        </w:rPr>
        <w:t>02</w:t>
      </w:r>
      <w:r>
        <w:rPr>
          <w:rFonts w:hint="eastAsia" w:cs="Times New Roman"/>
          <w:color w:val="0070C0"/>
          <w:spacing w:val="15"/>
          <w:sz w:val="21"/>
          <w:szCs w:val="21"/>
          <w:lang w:val="en-US" w:eastAsia="zh-CN"/>
        </w:rPr>
        <w:t>4</w:t>
      </w:r>
      <w:r>
        <w:rPr>
          <w:rFonts w:hint="default" w:ascii="Times New Roman" w:hAnsi="Times New Roman" w:eastAsia="宋体" w:cs="Times New Roman"/>
          <w:color w:val="0070C0"/>
          <w:spacing w:val="15"/>
          <w:sz w:val="21"/>
          <w:szCs w:val="21"/>
        </w:rPr>
        <w:t>年</w:t>
      </w:r>
      <w:r>
        <w:rPr>
          <w:rFonts w:hint="eastAsia" w:cs="Times New Roman"/>
          <w:color w:val="0070C0"/>
          <w:spacing w:val="15"/>
          <w:sz w:val="21"/>
          <w:szCs w:val="21"/>
          <w:lang w:val="en-US" w:eastAsia="zh-CN"/>
        </w:rPr>
        <w:t>4</w:t>
      </w:r>
      <w:r>
        <w:rPr>
          <w:rFonts w:hint="default" w:ascii="Times New Roman" w:hAnsi="Times New Roman" w:eastAsia="宋体" w:cs="Times New Roman"/>
          <w:color w:val="0070C0"/>
          <w:spacing w:val="15"/>
          <w:sz w:val="21"/>
          <w:szCs w:val="21"/>
        </w:rPr>
        <w:t>月</w:t>
      </w:r>
      <w:r>
        <w:rPr>
          <w:rFonts w:hint="eastAsia" w:cs="Times New Roman"/>
          <w:color w:val="0070C0"/>
          <w:spacing w:val="15"/>
          <w:sz w:val="21"/>
          <w:szCs w:val="21"/>
          <w:lang w:val="en-US" w:eastAsia="zh-CN"/>
        </w:rPr>
        <w:t>25</w:t>
      </w:r>
      <w:r>
        <w:rPr>
          <w:rFonts w:hint="default" w:ascii="Times New Roman" w:hAnsi="Times New Roman" w:eastAsia="宋体" w:cs="Times New Roman"/>
          <w:color w:val="0070C0"/>
          <w:spacing w:val="15"/>
          <w:sz w:val="21"/>
          <w:szCs w:val="21"/>
        </w:rPr>
        <w:t>日。</w:t>
      </w:r>
    </w:p>
    <w:p>
      <w:pPr>
        <w:pStyle w:val="4"/>
        <w:widowControl/>
        <w:spacing w:before="0" w:beforeAutospacing="0" w:after="0" w:afterAutospacing="0" w:line="400" w:lineRule="exact"/>
        <w:rPr>
          <w:rFonts w:hint="default" w:ascii="Times New Roman" w:hAnsi="Times New Roman" w:cs="Times New Roman"/>
          <w:color w:val="0070C0"/>
          <w:sz w:val="21"/>
          <w:szCs w:val="21"/>
        </w:rPr>
      </w:pPr>
      <w:r>
        <w:rPr>
          <w:rFonts w:hint="default" w:ascii="Times New Roman" w:hAnsi="Times New Roman" w:cs="Times New Roman"/>
          <w:color w:val="0070C0"/>
          <w:spacing w:val="15"/>
          <w:sz w:val="21"/>
          <w:szCs w:val="21"/>
        </w:rPr>
        <w:t xml:space="preserve">    电话：0394-82</w:t>
      </w:r>
      <w:r>
        <w:rPr>
          <w:rFonts w:hint="default" w:ascii="Times New Roman" w:hAnsi="Times New Roman" w:cs="Times New Roman"/>
          <w:color w:val="0070C0"/>
          <w:spacing w:val="15"/>
          <w:sz w:val="21"/>
          <w:szCs w:val="21"/>
          <w:lang w:val="en-US" w:eastAsia="zh-CN"/>
        </w:rPr>
        <w:t>7</w:t>
      </w:r>
      <w:r>
        <w:rPr>
          <w:rFonts w:hint="default" w:ascii="Times New Roman" w:hAnsi="Times New Roman" w:cs="Times New Roman"/>
          <w:color w:val="0070C0"/>
          <w:spacing w:val="15"/>
          <w:sz w:val="21"/>
          <w:szCs w:val="21"/>
        </w:rPr>
        <w:t>8830</w:t>
      </w:r>
    </w:p>
    <w:p>
      <w:pPr>
        <w:pStyle w:val="4"/>
        <w:widowControl/>
        <w:spacing w:before="0" w:beforeAutospacing="0" w:after="0" w:afterAutospacing="0" w:line="400" w:lineRule="exact"/>
        <w:rPr>
          <w:rFonts w:hint="default" w:ascii="Times New Roman" w:hAnsi="Times New Roman" w:cs="Times New Roman"/>
          <w:color w:val="0070C0"/>
          <w:sz w:val="21"/>
          <w:szCs w:val="21"/>
        </w:rPr>
      </w:pPr>
      <w:r>
        <w:rPr>
          <w:rFonts w:hint="default" w:ascii="Times New Roman" w:hAnsi="Times New Roman" w:cs="Times New Roman"/>
          <w:color w:val="0070C0"/>
          <w:spacing w:val="15"/>
          <w:sz w:val="21"/>
          <w:szCs w:val="21"/>
        </w:rPr>
        <w:t xml:space="preserve">    传真：0394-82</w:t>
      </w:r>
      <w:r>
        <w:rPr>
          <w:rFonts w:hint="default" w:ascii="Times New Roman" w:hAnsi="Times New Roman" w:cs="Times New Roman"/>
          <w:color w:val="0070C0"/>
          <w:spacing w:val="15"/>
          <w:sz w:val="21"/>
          <w:szCs w:val="21"/>
          <w:lang w:val="en-US" w:eastAsia="zh-CN"/>
        </w:rPr>
        <w:t>7</w:t>
      </w:r>
      <w:r>
        <w:rPr>
          <w:rFonts w:hint="default" w:ascii="Times New Roman" w:hAnsi="Times New Roman" w:cs="Times New Roman"/>
          <w:color w:val="0070C0"/>
          <w:spacing w:val="15"/>
          <w:sz w:val="21"/>
          <w:szCs w:val="21"/>
        </w:rPr>
        <w:t>8830</w:t>
      </w:r>
    </w:p>
    <w:p>
      <w:pPr>
        <w:pStyle w:val="4"/>
        <w:widowControl/>
        <w:spacing w:before="0" w:beforeAutospacing="0" w:after="0" w:afterAutospacing="0" w:line="400" w:lineRule="exact"/>
        <w:rPr>
          <w:rFonts w:hint="default" w:ascii="Times New Roman" w:hAnsi="Times New Roman" w:cs="Times New Roman"/>
          <w:color w:val="0070C0"/>
          <w:spacing w:val="15"/>
          <w:sz w:val="21"/>
          <w:szCs w:val="21"/>
        </w:rPr>
      </w:pPr>
      <w:r>
        <w:rPr>
          <w:rFonts w:hint="default" w:ascii="Times New Roman" w:hAnsi="Times New Roman" w:cs="Times New Roman"/>
          <w:color w:val="0070C0"/>
          <w:spacing w:val="15"/>
          <w:sz w:val="21"/>
          <w:szCs w:val="21"/>
        </w:rPr>
        <w:t xml:space="preserve">    通讯地址：周口市政务服务中心二楼北厅周口市生态环境局窗口</w:t>
      </w:r>
    </w:p>
    <w:p>
      <w:pPr>
        <w:pStyle w:val="4"/>
        <w:widowControl/>
        <w:spacing w:before="0" w:beforeAutospacing="0" w:after="0" w:afterAutospacing="0" w:line="400" w:lineRule="exact"/>
        <w:rPr>
          <w:rFonts w:hint="default" w:ascii="Times New Roman" w:hAnsi="Times New Roman" w:cs="Times New Roman"/>
          <w:color w:val="0070C0"/>
          <w:sz w:val="21"/>
          <w:szCs w:val="21"/>
        </w:rPr>
      </w:pPr>
      <w:r>
        <w:rPr>
          <w:rFonts w:hint="default" w:ascii="Times New Roman" w:hAnsi="Times New Roman" w:cs="Times New Roman"/>
          <w:color w:val="0070C0"/>
          <w:spacing w:val="15"/>
          <w:sz w:val="21"/>
          <w:szCs w:val="21"/>
        </w:rPr>
        <w:t xml:space="preserve">    听证告知：依据《中华人民共和国行政许可法》，自公示起</w:t>
      </w:r>
      <w:r>
        <w:rPr>
          <w:rFonts w:hint="default" w:ascii="Times New Roman" w:hAnsi="Times New Roman" w:cs="Times New Roman"/>
          <w:color w:val="0070C0"/>
          <w:spacing w:val="15"/>
          <w:sz w:val="21"/>
          <w:szCs w:val="21"/>
          <w:lang w:val="en-US" w:eastAsia="zh-CN"/>
        </w:rPr>
        <w:t>五</w:t>
      </w:r>
      <w:r>
        <w:rPr>
          <w:rFonts w:hint="default" w:ascii="Times New Roman" w:hAnsi="Times New Roman" w:cs="Times New Roman"/>
          <w:color w:val="0070C0"/>
          <w:spacing w:val="15"/>
          <w:sz w:val="21"/>
          <w:szCs w:val="21"/>
        </w:rPr>
        <w:t>个工作日内申请人、有重大利益关系的利害关系人可对以下拟作出的建设项目环境影响评价文件批复决定要求听证。</w:t>
      </w:r>
    </w:p>
    <w:p>
      <w:pPr>
        <w:pStyle w:val="4"/>
        <w:widowControl/>
        <w:spacing w:beforeAutospacing="0" w:afterAutospacing="0" w:line="400" w:lineRule="exact"/>
        <w:jc w:val="center"/>
        <w:rPr>
          <w:rFonts w:hint="default" w:ascii="Times New Roman" w:hAnsi="Times New Roman" w:cs="Times New Roman"/>
          <w:b/>
          <w:bCs/>
          <w:color w:val="0070C0"/>
          <w:sz w:val="24"/>
          <w:szCs w:val="24"/>
        </w:rPr>
      </w:pPr>
      <w:r>
        <w:rPr>
          <w:rFonts w:hint="default" w:ascii="Times New Roman" w:hAnsi="Times New Roman" w:cs="Times New Roman"/>
          <w:b/>
          <w:bCs/>
          <w:color w:val="0070C0"/>
          <w:spacing w:val="15"/>
          <w:sz w:val="24"/>
          <w:szCs w:val="24"/>
          <w:lang w:eastAsia="zh-CN"/>
        </w:rPr>
        <w:t>受理</w:t>
      </w:r>
      <w:r>
        <w:rPr>
          <w:rFonts w:hint="default" w:ascii="Times New Roman" w:hAnsi="Times New Roman" w:cs="Times New Roman"/>
          <w:b/>
          <w:bCs/>
          <w:color w:val="0070C0"/>
          <w:spacing w:val="15"/>
          <w:sz w:val="24"/>
          <w:szCs w:val="24"/>
        </w:rPr>
        <w:t>拟审批的建设项目环境影响报告表</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86"/>
        <w:gridCol w:w="1245"/>
        <w:gridCol w:w="1260"/>
        <w:gridCol w:w="917"/>
        <w:gridCol w:w="1245"/>
        <w:gridCol w:w="1905"/>
        <w:gridCol w:w="5445"/>
        <w:gridCol w:w="13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486"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rPr>
              <w:t>序号</w:t>
            </w:r>
          </w:p>
        </w:tc>
        <w:tc>
          <w:tcPr>
            <w:tcW w:w="1245"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rPr>
              <w:t>项目名称</w:t>
            </w:r>
          </w:p>
        </w:tc>
        <w:tc>
          <w:tcPr>
            <w:tcW w:w="1260"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rPr>
              <w:t>建设地点</w:t>
            </w:r>
          </w:p>
        </w:tc>
        <w:tc>
          <w:tcPr>
            <w:tcW w:w="917"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rPr>
              <w:t>建设</w:t>
            </w:r>
          </w:p>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rPr>
              <w:t>单位</w:t>
            </w:r>
          </w:p>
        </w:tc>
        <w:tc>
          <w:tcPr>
            <w:tcW w:w="1245"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rPr>
              <w:t>环境影响评价机构</w:t>
            </w:r>
          </w:p>
        </w:tc>
        <w:tc>
          <w:tcPr>
            <w:tcW w:w="1905"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rPr>
              <w:t>建设项目概况</w:t>
            </w:r>
          </w:p>
        </w:tc>
        <w:tc>
          <w:tcPr>
            <w:tcW w:w="5445"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rPr>
              <w:t>主要环境影响及预防或减轻不良环境影响的对策和措施</w:t>
            </w:r>
          </w:p>
        </w:tc>
        <w:tc>
          <w:tcPr>
            <w:tcW w:w="1327"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rPr>
              <w:t>公众参与情况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97" w:hRule="atLeast"/>
          <w:jc w:val="center"/>
        </w:trPr>
        <w:tc>
          <w:tcPr>
            <w:tcW w:w="486"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rPr>
              <w:t>1</w:t>
            </w:r>
          </w:p>
        </w:tc>
        <w:tc>
          <w:tcPr>
            <w:tcW w:w="1245"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lang w:val="en-US" w:eastAsia="zh-CN"/>
              </w:rPr>
              <w:t>西华县跃峰再生资源有限公司小微危废企业集中收集项目</w:t>
            </w:r>
          </w:p>
        </w:tc>
        <w:tc>
          <w:tcPr>
            <w:tcW w:w="1260"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eastAsia" w:cs="Times New Roman"/>
                <w:color w:val="4F81BD"/>
                <w:spacing w:val="15"/>
                <w:kern w:val="0"/>
                <w:sz w:val="24"/>
                <w:szCs w:val="24"/>
                <w:lang w:val="en-US" w:eastAsia="zh-CN"/>
              </w:rPr>
              <w:t>河南周口市西华县干校路路南008号</w:t>
            </w:r>
          </w:p>
        </w:tc>
        <w:tc>
          <w:tcPr>
            <w:tcW w:w="917"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rPr>
            </w:pPr>
            <w:r>
              <w:rPr>
                <w:rFonts w:hint="default" w:ascii="Times New Roman" w:hAnsi="Times New Roman" w:eastAsia="宋体" w:cs="Times New Roman"/>
                <w:color w:val="4F81BD"/>
                <w:spacing w:val="15"/>
                <w:kern w:val="0"/>
                <w:sz w:val="24"/>
                <w:szCs w:val="24"/>
                <w:lang w:val="en-US" w:eastAsia="zh-CN"/>
              </w:rPr>
              <w:t>西华县跃峰再生资源有限公司</w:t>
            </w:r>
          </w:p>
        </w:tc>
        <w:tc>
          <w:tcPr>
            <w:tcW w:w="1245"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ascii="Times New Roman" w:hAnsi="Times New Roman" w:eastAsia="宋体" w:cs="Times New Roman"/>
                <w:color w:val="4F81BD"/>
                <w:spacing w:val="15"/>
                <w:kern w:val="0"/>
                <w:sz w:val="24"/>
                <w:szCs w:val="24"/>
                <w:lang w:val="en-US" w:eastAsia="zh-CN"/>
              </w:rPr>
            </w:pPr>
            <w:r>
              <w:rPr>
                <w:rFonts w:hint="eastAsia" w:cs="Times New Roman"/>
                <w:color w:val="4F81BD"/>
                <w:spacing w:val="15"/>
                <w:kern w:val="0"/>
                <w:sz w:val="24"/>
                <w:szCs w:val="24"/>
                <w:lang w:val="en-US" w:eastAsia="zh-CN"/>
              </w:rPr>
              <w:t>河南乐骏环保科技有限公司</w:t>
            </w:r>
          </w:p>
        </w:tc>
        <w:tc>
          <w:tcPr>
            <w:tcW w:w="1905"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default" w:cs="Times New Roman"/>
                <w:color w:val="4F81BD"/>
                <w:spacing w:val="15"/>
                <w:kern w:val="0"/>
                <w:sz w:val="24"/>
                <w:szCs w:val="24"/>
                <w:lang w:val="en-US" w:eastAsia="zh-CN"/>
              </w:rPr>
            </w:pPr>
            <w:r>
              <w:rPr>
                <w:rFonts w:hint="eastAsia" w:cs="Times New Roman"/>
                <w:color w:val="4F81BD"/>
                <w:spacing w:val="15"/>
                <w:kern w:val="0"/>
                <w:sz w:val="24"/>
                <w:szCs w:val="24"/>
                <w:lang w:val="en-US" w:eastAsia="zh-CN"/>
              </w:rPr>
              <w:t>本项目为新建，属于重大变动重新报批项目就，项目地址位于西华县干校路路南008号盛润包装公司院内，总投资500万元，环保投资20万元，租赁生产厂房1200m²，项目建成后可达到年收集中转4800吨危废</w:t>
            </w:r>
          </w:p>
        </w:tc>
        <w:tc>
          <w:tcPr>
            <w:tcW w:w="5445"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eastAsia" w:cs="Times New Roman"/>
                <w:color w:val="4F81BD"/>
                <w:spacing w:val="15"/>
                <w:kern w:val="0"/>
                <w:sz w:val="24"/>
                <w:szCs w:val="24"/>
                <w:lang w:val="en-US" w:eastAsia="zh-CN"/>
              </w:rPr>
            </w:pPr>
            <w:r>
              <w:rPr>
                <w:rFonts w:hint="eastAsia" w:cs="Times New Roman"/>
                <w:color w:val="4F81BD"/>
                <w:spacing w:val="15"/>
                <w:kern w:val="0"/>
                <w:sz w:val="24"/>
                <w:szCs w:val="24"/>
                <w:lang w:val="en-US" w:eastAsia="zh-CN"/>
              </w:rPr>
              <w:t>1、废</w:t>
            </w:r>
            <w:r>
              <w:rPr>
                <w:rFonts w:hint="eastAsia" w:cs="Times New Roman"/>
                <w:color w:val="4F81BD"/>
                <w:spacing w:val="15"/>
                <w:kern w:val="0"/>
                <w:sz w:val="24"/>
                <w:szCs w:val="24"/>
                <w:lang w:val="en-US" w:eastAsia="zh-CN"/>
              </w:rPr>
              <w:t>气</w:t>
            </w:r>
            <w:r>
              <w:rPr>
                <w:rFonts w:hint="default" w:ascii="Times New Roman" w:hAnsi="Times New Roman" w:eastAsia="宋体" w:cs="Times New Roman"/>
                <w:color w:val="4F81BD"/>
                <w:spacing w:val="15"/>
                <w:kern w:val="0"/>
                <w:sz w:val="24"/>
                <w:szCs w:val="24"/>
                <w:lang w:val="en-US" w:eastAsia="zh-CN"/>
              </w:rPr>
              <w:t>污染防治措施</w:t>
            </w:r>
            <w:r>
              <w:rPr>
                <w:rFonts w:hint="eastAsia" w:cs="Times New Roman"/>
                <w:color w:val="4F81BD"/>
                <w:spacing w:val="15"/>
                <w:kern w:val="0"/>
                <w:sz w:val="24"/>
                <w:szCs w:val="24"/>
                <w:lang w:val="en-US" w:eastAsia="zh-CN"/>
              </w:rPr>
              <w:t>。危废暂存时产生有机废气，部分危废暂存区密闭负压收集+新建1套UV光解+活性炭吸附装置+15m高排气筒排放，处理后的废气满足《河</w:t>
            </w:r>
            <w:r>
              <w:rPr>
                <w:rFonts w:hint="default" w:cs="Times New Roman"/>
                <w:color w:val="4F81BD"/>
                <w:spacing w:val="15"/>
                <w:kern w:val="0"/>
                <w:sz w:val="24"/>
                <w:szCs w:val="24"/>
                <w:lang w:val="en-US" w:eastAsia="zh-CN"/>
              </w:rPr>
              <w:t>南省环境污染防治攻坚战领导小组</w:t>
            </w:r>
            <w:r>
              <w:rPr>
                <w:rFonts w:hint="eastAsia" w:cs="Times New Roman"/>
                <w:color w:val="4F81BD"/>
                <w:spacing w:val="15"/>
                <w:kern w:val="0"/>
                <w:sz w:val="24"/>
                <w:szCs w:val="24"/>
                <w:lang w:val="en-US" w:eastAsia="zh-CN"/>
              </w:rPr>
              <w:t>开票区</w:t>
            </w:r>
            <w:r>
              <w:rPr>
                <w:rFonts w:hint="default" w:cs="Times New Roman"/>
                <w:color w:val="4F81BD"/>
                <w:spacing w:val="15"/>
                <w:kern w:val="0"/>
                <w:sz w:val="24"/>
                <w:szCs w:val="24"/>
                <w:lang w:val="en-US" w:eastAsia="zh-CN"/>
              </w:rPr>
              <w:t>关于全省开展工业企业挥发性有机物专项治理工作中排放建议值的通知》</w:t>
            </w:r>
            <w:r>
              <w:rPr>
                <w:rFonts w:hint="eastAsia" w:cs="Times New Roman"/>
                <w:color w:val="4F81BD"/>
                <w:spacing w:val="15"/>
                <w:kern w:val="0"/>
                <w:sz w:val="24"/>
                <w:szCs w:val="24"/>
                <w:lang w:val="en-US" w:eastAsia="zh-CN"/>
              </w:rPr>
              <w:t>（</w:t>
            </w:r>
            <w:r>
              <w:rPr>
                <w:rFonts w:hint="default" w:cs="Times New Roman"/>
                <w:color w:val="4F81BD"/>
                <w:spacing w:val="15"/>
                <w:kern w:val="0"/>
                <w:sz w:val="24"/>
                <w:szCs w:val="24"/>
                <w:lang w:val="en-US" w:eastAsia="zh-CN"/>
              </w:rPr>
              <w:t>豫环攻坚办[2017]162号</w:t>
            </w:r>
            <w:r>
              <w:rPr>
                <w:rFonts w:hint="eastAsia" w:cs="Times New Roman"/>
                <w:color w:val="4F81BD"/>
                <w:spacing w:val="15"/>
                <w:kern w:val="0"/>
                <w:sz w:val="24"/>
                <w:szCs w:val="24"/>
                <w:lang w:val="en-US" w:eastAsia="zh-CN"/>
              </w:rPr>
              <w:t>）、</w:t>
            </w:r>
            <w:r>
              <w:rPr>
                <w:rFonts w:hint="default" w:cs="Times New Roman"/>
                <w:color w:val="4F81BD"/>
                <w:spacing w:val="15"/>
                <w:kern w:val="0"/>
                <w:sz w:val="24"/>
                <w:szCs w:val="24"/>
                <w:lang w:val="en-US" w:eastAsia="zh-CN"/>
              </w:rPr>
              <w:t>《大气污染物综合排放标准》（GB16297-1996）</w:t>
            </w:r>
            <w:r>
              <w:rPr>
                <w:rFonts w:hint="eastAsia" w:cs="Times New Roman"/>
                <w:color w:val="4F81BD"/>
                <w:spacing w:val="15"/>
                <w:kern w:val="0"/>
                <w:sz w:val="24"/>
                <w:szCs w:val="24"/>
                <w:lang w:val="en-US" w:eastAsia="zh-CN"/>
              </w:rPr>
              <w:t>；破损电池暂存间二次封闭+负压集气系统+碱喷淋+15m高排气筒（DA002），处理后的硫酸雾满足《大气污染物综合排放标准》（GB16297-1996）要求；</w:t>
            </w:r>
          </w:p>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eastAsia" w:cs="Times New Roman"/>
                <w:color w:val="4F81BD"/>
                <w:spacing w:val="15"/>
                <w:kern w:val="0"/>
                <w:sz w:val="24"/>
                <w:szCs w:val="24"/>
                <w:lang w:val="en-US" w:eastAsia="zh-CN"/>
              </w:rPr>
            </w:pPr>
            <w:r>
              <w:rPr>
                <w:rFonts w:hint="eastAsia" w:cs="Times New Roman"/>
                <w:color w:val="4F81BD"/>
                <w:spacing w:val="15"/>
                <w:kern w:val="0"/>
                <w:sz w:val="24"/>
                <w:szCs w:val="24"/>
                <w:lang w:val="en-US" w:eastAsia="zh-CN"/>
              </w:rPr>
              <w:t>2、废水</w:t>
            </w:r>
            <w:r>
              <w:rPr>
                <w:rFonts w:hint="default" w:ascii="Times New Roman" w:hAnsi="Times New Roman" w:eastAsia="宋体" w:cs="Times New Roman"/>
                <w:color w:val="4F81BD"/>
                <w:spacing w:val="15"/>
                <w:kern w:val="0"/>
                <w:sz w:val="24"/>
                <w:szCs w:val="24"/>
                <w:lang w:val="en-US" w:eastAsia="zh-CN"/>
              </w:rPr>
              <w:t>污染防治措施</w:t>
            </w:r>
            <w:r>
              <w:rPr>
                <w:rFonts w:hint="eastAsia" w:cs="Times New Roman"/>
                <w:color w:val="4F81BD"/>
                <w:spacing w:val="15"/>
                <w:kern w:val="0"/>
                <w:sz w:val="24"/>
                <w:szCs w:val="24"/>
                <w:lang w:val="en-US" w:eastAsia="zh-CN"/>
              </w:rPr>
              <w:t>。运营期无生产废水，仅有生活污水，</w:t>
            </w:r>
            <w:r>
              <w:rPr>
                <w:rFonts w:hint="default" w:cs="Times New Roman"/>
                <w:color w:val="4F81BD"/>
                <w:spacing w:val="15"/>
                <w:kern w:val="0"/>
                <w:sz w:val="24"/>
                <w:szCs w:val="24"/>
                <w:lang w:val="en-US" w:eastAsia="zh-CN"/>
              </w:rPr>
              <w:t>依托院内</w:t>
            </w:r>
            <w:r>
              <w:rPr>
                <w:rFonts w:hint="eastAsia" w:cs="Times New Roman"/>
                <w:color w:val="4F81BD"/>
                <w:spacing w:val="15"/>
                <w:kern w:val="0"/>
                <w:sz w:val="24"/>
                <w:szCs w:val="24"/>
                <w:lang w:val="en-US" w:eastAsia="zh-CN"/>
              </w:rPr>
              <w:t>10m3</w:t>
            </w:r>
            <w:r>
              <w:rPr>
                <w:rFonts w:hint="default" w:cs="Times New Roman"/>
                <w:color w:val="4F81BD"/>
                <w:spacing w:val="15"/>
                <w:kern w:val="0"/>
                <w:sz w:val="24"/>
                <w:szCs w:val="24"/>
                <w:lang w:val="en-US" w:eastAsia="zh-CN"/>
              </w:rPr>
              <w:t>化粪池处理后通过市政污水管网排入西华县第二污水处理厂处理</w:t>
            </w:r>
            <w:r>
              <w:rPr>
                <w:rFonts w:hint="eastAsia" w:cs="Times New Roman"/>
                <w:color w:val="4F81BD"/>
                <w:spacing w:val="15"/>
                <w:kern w:val="0"/>
                <w:sz w:val="24"/>
                <w:szCs w:val="24"/>
                <w:lang w:val="en-US" w:eastAsia="zh-CN"/>
              </w:rPr>
              <w:t>，生活污水排放满足</w:t>
            </w:r>
            <w:r>
              <w:rPr>
                <w:rFonts w:hint="default" w:cs="Times New Roman"/>
                <w:color w:val="4F81BD"/>
                <w:spacing w:val="15"/>
                <w:kern w:val="0"/>
                <w:sz w:val="24"/>
                <w:szCs w:val="24"/>
                <w:lang w:val="en-US" w:eastAsia="zh-CN"/>
              </w:rPr>
              <w:t>《污水综合排放标准》（GB8978-1996）三级标准和西华县第二污水处理厂收水标准</w:t>
            </w:r>
            <w:r>
              <w:rPr>
                <w:rFonts w:hint="eastAsia" w:cs="Times New Roman"/>
                <w:color w:val="4F81BD"/>
                <w:spacing w:val="15"/>
                <w:kern w:val="0"/>
                <w:sz w:val="24"/>
                <w:szCs w:val="24"/>
                <w:lang w:val="en-US" w:eastAsia="zh-CN"/>
              </w:rPr>
              <w:t>要求。</w:t>
            </w:r>
          </w:p>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eastAsia" w:cs="Times New Roman"/>
                <w:color w:val="4F81BD"/>
                <w:spacing w:val="15"/>
                <w:kern w:val="0"/>
                <w:sz w:val="24"/>
                <w:szCs w:val="24"/>
                <w:lang w:val="en-US" w:eastAsia="zh-CN"/>
              </w:rPr>
            </w:pPr>
            <w:r>
              <w:rPr>
                <w:rFonts w:hint="eastAsia" w:cs="Times New Roman"/>
                <w:color w:val="4F81BD"/>
                <w:spacing w:val="15"/>
                <w:kern w:val="0"/>
                <w:sz w:val="24"/>
                <w:szCs w:val="24"/>
                <w:lang w:val="en-US" w:eastAsia="zh-CN"/>
              </w:rPr>
              <w:t>3、噪声</w:t>
            </w:r>
            <w:r>
              <w:rPr>
                <w:rFonts w:hint="default" w:ascii="Times New Roman" w:hAnsi="Times New Roman" w:eastAsia="宋体" w:cs="Times New Roman"/>
                <w:color w:val="4F81BD"/>
                <w:spacing w:val="15"/>
                <w:kern w:val="0"/>
                <w:sz w:val="24"/>
                <w:szCs w:val="24"/>
                <w:lang w:val="en-US" w:eastAsia="zh-CN"/>
              </w:rPr>
              <w:t>污染防治措施</w:t>
            </w:r>
            <w:r>
              <w:rPr>
                <w:rFonts w:hint="eastAsia" w:cs="Times New Roman"/>
                <w:color w:val="4F81BD"/>
                <w:spacing w:val="15"/>
                <w:kern w:val="0"/>
                <w:sz w:val="24"/>
                <w:szCs w:val="24"/>
                <w:lang w:val="en-US" w:eastAsia="zh-CN"/>
              </w:rPr>
              <w:t>。项目营运期生产机械采用合理布置、基础减震、隔音等措施。厂界噪声应满足《工业企业厂界环境噪声排放标准》（GB12348-2008）3类标准要求。</w:t>
            </w:r>
          </w:p>
          <w:p>
            <w:pPr>
              <w:keepNext w:val="0"/>
              <w:keepLines w:val="0"/>
              <w:pageBreakBefore w:val="0"/>
              <w:widowControl/>
              <w:shd w:val="clear" w:color="auto" w:fill="FFFFFF"/>
              <w:kinsoku/>
              <w:wordWrap/>
              <w:overflowPunct/>
              <w:topLinePunct w:val="0"/>
              <w:autoSpaceDE/>
              <w:autoSpaceDN/>
              <w:bidi w:val="0"/>
              <w:adjustRightInd/>
              <w:snapToGrid/>
              <w:spacing w:line="240" w:lineRule="auto"/>
              <w:textAlignment w:val="auto"/>
              <w:rPr>
                <w:rFonts w:hint="eastAsia" w:cs="Times New Roman"/>
                <w:color w:val="4F81BD"/>
                <w:spacing w:val="15"/>
                <w:kern w:val="0"/>
                <w:sz w:val="24"/>
                <w:szCs w:val="24"/>
                <w:lang w:val="en-US" w:eastAsia="zh-CN"/>
              </w:rPr>
            </w:pPr>
            <w:r>
              <w:rPr>
                <w:rFonts w:hint="eastAsia" w:cs="Times New Roman"/>
                <w:color w:val="4F81BD"/>
                <w:spacing w:val="15"/>
                <w:kern w:val="0"/>
                <w:sz w:val="24"/>
                <w:szCs w:val="24"/>
                <w:lang w:val="en-US" w:eastAsia="zh-CN"/>
              </w:rPr>
              <w:t>4、固废</w:t>
            </w:r>
            <w:r>
              <w:rPr>
                <w:rFonts w:hint="default" w:ascii="Times New Roman" w:hAnsi="Times New Roman" w:eastAsia="宋体" w:cs="Times New Roman"/>
                <w:color w:val="4F81BD"/>
                <w:spacing w:val="15"/>
                <w:kern w:val="0"/>
                <w:sz w:val="24"/>
                <w:szCs w:val="24"/>
                <w:lang w:val="en-US" w:eastAsia="zh-CN"/>
              </w:rPr>
              <w:t>污染防治措施</w:t>
            </w:r>
            <w:bookmarkStart w:id="0" w:name="_GoBack"/>
            <w:bookmarkEnd w:id="0"/>
            <w:r>
              <w:rPr>
                <w:rFonts w:hint="eastAsia" w:cs="Times New Roman"/>
                <w:color w:val="4F81BD"/>
                <w:spacing w:val="15"/>
                <w:kern w:val="0"/>
                <w:sz w:val="24"/>
                <w:szCs w:val="24"/>
                <w:lang w:val="en-US" w:eastAsia="zh-CN"/>
              </w:rPr>
              <w:t>。生活垃圾由环卫部门统一处理，生产过程产生的危废按照《危险废物贮存污染控制标准》（GB18597-2023）标准管理和设置。</w:t>
            </w:r>
          </w:p>
        </w:tc>
        <w:tc>
          <w:tcPr>
            <w:tcW w:w="1327" w:type="dxa"/>
            <w:tcMar>
              <w:top w:w="0" w:type="dxa"/>
              <w:left w:w="108" w:type="dxa"/>
              <w:bottom w:w="0" w:type="dxa"/>
              <w:right w:w="108" w:type="dxa"/>
            </w:tcMar>
            <w:vAlign w:val="center"/>
          </w:tcPr>
          <w:p>
            <w:pPr>
              <w:keepNext w:val="0"/>
              <w:keepLines w:val="0"/>
              <w:pageBreakBefore w:val="0"/>
              <w:widowControl/>
              <w:shd w:val="clear" w:color="auto" w:fill="FFFFFF"/>
              <w:kinsoku/>
              <w:wordWrap/>
              <w:overflowPunct/>
              <w:topLinePunct w:val="0"/>
              <w:autoSpaceDE/>
              <w:autoSpaceDN/>
              <w:bidi w:val="0"/>
              <w:adjustRightInd/>
              <w:snapToGrid/>
              <w:spacing w:line="240" w:lineRule="auto"/>
              <w:jc w:val="center"/>
              <w:textAlignment w:val="auto"/>
              <w:rPr>
                <w:rFonts w:hint="eastAsia" w:ascii="Times New Roman" w:hAnsi="Times New Roman" w:eastAsia="宋体" w:cs="Times New Roman"/>
                <w:color w:val="4F81BD"/>
                <w:spacing w:val="15"/>
                <w:kern w:val="0"/>
                <w:sz w:val="24"/>
                <w:szCs w:val="24"/>
                <w:lang w:eastAsia="zh-CN"/>
              </w:rPr>
            </w:pPr>
            <w:r>
              <w:rPr>
                <w:rFonts w:hint="eastAsia" w:eastAsia="宋体" w:cs="Times New Roman"/>
                <w:color w:val="4F81BD"/>
                <w:spacing w:val="15"/>
                <w:kern w:val="0"/>
                <w:sz w:val="24"/>
                <w:szCs w:val="24"/>
                <w:lang w:val="en-US" w:eastAsia="zh-CN"/>
              </w:rPr>
              <w:t>无</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197" w:hRule="atLeast"/>
          <w:jc w:val="center"/>
        </w:trPr>
        <w:tc>
          <w:tcPr>
            <w:tcW w:w="486" w:type="dxa"/>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jc w:val="center"/>
              <w:rPr>
                <w:rFonts w:hint="default" w:ascii="Times New Roman" w:hAnsi="Times New Roman" w:eastAsia="宋体" w:cs="Times New Roman"/>
                <w:color w:val="0070C0"/>
                <w:spacing w:val="15"/>
                <w:kern w:val="0"/>
                <w:sz w:val="21"/>
                <w:szCs w:val="21"/>
                <w:u w:val="none"/>
                <w:lang w:val="en-US" w:eastAsia="zh-CN" w:bidi="ar"/>
              </w:rPr>
            </w:pPr>
          </w:p>
        </w:tc>
        <w:tc>
          <w:tcPr>
            <w:tcW w:w="1245" w:type="dxa"/>
            <w:tcBorders>
              <w:top w:val="single" w:color="auto" w:sz="4" w:space="0"/>
              <w:left w:val="nil"/>
              <w:bottom w:val="single" w:color="auto" w:sz="4" w:space="0"/>
              <w:right w:val="single" w:color="auto" w:sz="4" w:space="0"/>
            </w:tcBorders>
            <w:noWrap w:val="0"/>
            <w:vAlign w:val="center"/>
          </w:tcPr>
          <w:p>
            <w:pPr>
              <w:widowControl/>
              <w:spacing w:line="240" w:lineRule="auto"/>
              <w:jc w:val="center"/>
              <w:rPr>
                <w:rFonts w:hint="default" w:ascii="Times New Roman" w:hAnsi="Times New Roman" w:eastAsia="宋体" w:cs="Times New Roman"/>
                <w:color w:val="0070C0"/>
                <w:spacing w:val="15"/>
                <w:kern w:val="0"/>
                <w:sz w:val="21"/>
                <w:szCs w:val="21"/>
                <w:u w:val="none"/>
                <w:lang w:val="en-US" w:eastAsia="zh-CN" w:bidi="ar"/>
              </w:rPr>
            </w:pPr>
          </w:p>
        </w:tc>
        <w:tc>
          <w:tcPr>
            <w:tcW w:w="1260" w:type="dxa"/>
            <w:tcBorders>
              <w:top w:val="single" w:color="auto" w:sz="4" w:space="0"/>
              <w:left w:val="nil"/>
              <w:bottom w:val="single" w:color="auto" w:sz="4" w:space="0"/>
              <w:right w:val="single" w:color="auto" w:sz="4" w:space="0"/>
            </w:tcBorders>
            <w:noWrap w:val="0"/>
            <w:vAlign w:val="center"/>
          </w:tcPr>
          <w:p>
            <w:pPr>
              <w:widowControl/>
              <w:spacing w:line="240" w:lineRule="auto"/>
              <w:jc w:val="center"/>
              <w:rPr>
                <w:rFonts w:hint="default" w:ascii="Times New Roman" w:hAnsi="Times New Roman" w:eastAsia="宋体" w:cs="Times New Roman"/>
                <w:color w:val="0070C0"/>
                <w:spacing w:val="15"/>
                <w:kern w:val="0"/>
                <w:sz w:val="21"/>
                <w:szCs w:val="21"/>
                <w:u w:val="none"/>
                <w:lang w:val="en-US" w:eastAsia="zh-CN" w:bidi="ar"/>
              </w:rPr>
            </w:pPr>
          </w:p>
        </w:tc>
        <w:tc>
          <w:tcPr>
            <w:tcW w:w="917" w:type="dxa"/>
            <w:tcBorders>
              <w:top w:val="single" w:color="auto" w:sz="4" w:space="0"/>
              <w:left w:val="nil"/>
              <w:bottom w:val="single" w:color="auto" w:sz="4" w:space="0"/>
              <w:right w:val="single" w:color="auto" w:sz="4" w:space="0"/>
            </w:tcBorders>
            <w:noWrap w:val="0"/>
            <w:vAlign w:val="center"/>
          </w:tcPr>
          <w:p>
            <w:pPr>
              <w:widowControl/>
              <w:spacing w:line="240" w:lineRule="auto"/>
              <w:jc w:val="center"/>
              <w:rPr>
                <w:rFonts w:hint="default" w:ascii="Times New Roman" w:hAnsi="Times New Roman" w:eastAsia="宋体" w:cs="Times New Roman"/>
                <w:color w:val="0070C0"/>
                <w:spacing w:val="15"/>
                <w:kern w:val="0"/>
                <w:sz w:val="21"/>
                <w:szCs w:val="21"/>
                <w:u w:val="none"/>
                <w:lang w:val="en-US" w:eastAsia="zh-CN" w:bidi="ar"/>
              </w:rPr>
            </w:pPr>
          </w:p>
        </w:tc>
        <w:tc>
          <w:tcPr>
            <w:tcW w:w="1245" w:type="dxa"/>
            <w:tcBorders>
              <w:top w:val="single" w:color="auto" w:sz="4" w:space="0"/>
              <w:left w:val="nil"/>
              <w:bottom w:val="single" w:color="auto" w:sz="4" w:space="0"/>
              <w:right w:val="single" w:color="auto" w:sz="4" w:space="0"/>
            </w:tcBorders>
            <w:noWrap w:val="0"/>
            <w:vAlign w:val="center"/>
          </w:tcPr>
          <w:p>
            <w:pPr>
              <w:widowControl/>
              <w:spacing w:line="240" w:lineRule="auto"/>
              <w:jc w:val="center"/>
              <w:rPr>
                <w:rFonts w:hint="default" w:ascii="Times New Roman" w:hAnsi="Times New Roman" w:eastAsia="宋体" w:cs="Times New Roman"/>
                <w:color w:val="0070C0"/>
                <w:spacing w:val="15"/>
                <w:kern w:val="0"/>
                <w:sz w:val="21"/>
                <w:szCs w:val="21"/>
                <w:u w:val="none"/>
                <w:lang w:val="en-US" w:eastAsia="zh-CN" w:bidi="ar"/>
              </w:rPr>
            </w:pPr>
          </w:p>
        </w:tc>
        <w:tc>
          <w:tcPr>
            <w:tcW w:w="1905" w:type="dxa"/>
            <w:tcBorders>
              <w:top w:val="single" w:color="auto" w:sz="4" w:space="0"/>
              <w:left w:val="nil"/>
              <w:bottom w:val="single" w:color="auto" w:sz="4" w:space="0"/>
              <w:right w:val="single" w:color="auto" w:sz="4" w:space="0"/>
            </w:tcBorders>
            <w:noWrap w:val="0"/>
            <w:vAlign w:val="center"/>
          </w:tcPr>
          <w:p>
            <w:pPr>
              <w:widowControl/>
              <w:spacing w:line="240" w:lineRule="auto"/>
              <w:jc w:val="center"/>
              <w:rPr>
                <w:rFonts w:hint="default" w:ascii="Times New Roman" w:hAnsi="Times New Roman" w:eastAsia="宋体" w:cs="Times New Roman"/>
                <w:color w:val="0070C0"/>
                <w:spacing w:val="15"/>
                <w:kern w:val="0"/>
                <w:sz w:val="21"/>
                <w:szCs w:val="21"/>
                <w:u w:val="none"/>
                <w:lang w:val="en-US" w:eastAsia="zh-CN" w:bidi="ar"/>
              </w:rPr>
            </w:pPr>
          </w:p>
        </w:tc>
        <w:tc>
          <w:tcPr>
            <w:tcW w:w="5445" w:type="dxa"/>
            <w:tcBorders>
              <w:top w:val="single" w:color="auto" w:sz="4" w:space="0"/>
              <w:left w:val="nil"/>
              <w:bottom w:val="single" w:color="auto" w:sz="4" w:space="0"/>
              <w:right w:val="single" w:color="auto" w:sz="4" w:space="0"/>
            </w:tcBorders>
            <w:noWrap w:val="0"/>
            <w:vAlign w:val="center"/>
          </w:tcPr>
          <w:p>
            <w:pPr>
              <w:widowControl/>
              <w:spacing w:line="240" w:lineRule="auto"/>
              <w:jc w:val="center"/>
              <w:rPr>
                <w:rFonts w:hint="default" w:ascii="Times New Roman" w:hAnsi="Times New Roman" w:eastAsia="宋体" w:cs="Times New Roman"/>
                <w:color w:val="0070C0"/>
                <w:spacing w:val="15"/>
                <w:kern w:val="0"/>
                <w:sz w:val="21"/>
                <w:szCs w:val="21"/>
                <w:u w:val="none"/>
                <w:lang w:val="en-US" w:eastAsia="zh-CN" w:bidi="ar"/>
              </w:rPr>
            </w:pPr>
          </w:p>
        </w:tc>
        <w:tc>
          <w:tcPr>
            <w:tcW w:w="1327" w:type="dxa"/>
            <w:tcBorders>
              <w:top w:val="single" w:color="auto" w:sz="4" w:space="0"/>
              <w:left w:val="nil"/>
              <w:bottom w:val="single" w:color="auto" w:sz="4" w:space="0"/>
              <w:right w:val="single" w:color="auto" w:sz="4" w:space="0"/>
            </w:tcBorders>
            <w:noWrap w:val="0"/>
            <w:vAlign w:val="center"/>
          </w:tcPr>
          <w:p>
            <w:pPr>
              <w:widowControl/>
              <w:spacing w:line="240" w:lineRule="auto"/>
              <w:jc w:val="center"/>
              <w:rPr>
                <w:rFonts w:hint="default" w:ascii="Times New Roman" w:hAnsi="Times New Roman" w:eastAsia="宋体" w:cs="Times New Roman"/>
                <w:color w:val="0070C0"/>
                <w:spacing w:val="15"/>
                <w:kern w:val="0"/>
                <w:sz w:val="21"/>
                <w:szCs w:val="21"/>
                <w:u w:val="none"/>
                <w:lang w:val="en-US" w:eastAsia="zh-CN" w:bidi="ar"/>
              </w:rPr>
            </w:pPr>
          </w:p>
        </w:tc>
      </w:tr>
    </w:tbl>
    <w:p>
      <w:pPr>
        <w:rPr>
          <w:rFonts w:hint="default" w:ascii="Times New Roman" w:hAnsi="Times New Roman" w:cs="Times New Roman"/>
        </w:rPr>
      </w:pPr>
    </w:p>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2"/>
    <w:family w:val="auto"/>
    <w:pitch w:val="default"/>
    <w:sig w:usb0="E0002EFF" w:usb1="C000785B" w:usb2="00000009" w:usb3="00000000" w:csb0="400001FF" w:csb1="FFFF0000"/>
  </w:font>
  <w:font w:name="宋体">
    <w:panose1 w:val="02010600030101010101"/>
    <w:charset w:val="02"/>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4E3EB68"/>
    <w:multiLevelType w:val="singleLevel"/>
    <w:tmpl w:val="F4E3EB68"/>
    <w:lvl w:ilvl="0" w:tentative="0">
      <w:start w:val="1"/>
      <w:numFmt w:val="bullet"/>
      <w:pStyle w:val="3"/>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kyOTEzZGM4MWJkYWQ5ZjNjOTJmMWJmYWFlMmYzNzkifQ=="/>
  </w:docVars>
  <w:rsids>
    <w:rsidRoot w:val="4DE16E86"/>
    <w:rsid w:val="088509EF"/>
    <w:rsid w:val="0F9B745B"/>
    <w:rsid w:val="0FC25099"/>
    <w:rsid w:val="0FF43411"/>
    <w:rsid w:val="19525860"/>
    <w:rsid w:val="20A96284"/>
    <w:rsid w:val="24E349C5"/>
    <w:rsid w:val="3DF316CE"/>
    <w:rsid w:val="481A32B8"/>
    <w:rsid w:val="4AE371C0"/>
    <w:rsid w:val="4DE16E86"/>
    <w:rsid w:val="536F4C0C"/>
    <w:rsid w:val="597B2CA5"/>
    <w:rsid w:val="5B7A07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Body Text"/>
    <w:basedOn w:val="1"/>
    <w:next w:val="3"/>
    <w:autoRedefine/>
    <w:qFormat/>
    <w:uiPriority w:val="0"/>
    <w:pPr>
      <w:spacing w:line="400" w:lineRule="exact"/>
    </w:pPr>
    <w:rPr>
      <w:sz w:val="28"/>
    </w:rPr>
  </w:style>
  <w:style w:type="paragraph" w:styleId="3">
    <w:name w:val="List Bullet 5"/>
    <w:basedOn w:val="1"/>
    <w:autoRedefine/>
    <w:qFormat/>
    <w:uiPriority w:val="0"/>
    <w:pPr>
      <w:numPr>
        <w:ilvl w:val="0"/>
        <w:numId w:val="1"/>
      </w:numPr>
    </w:pPr>
  </w:style>
  <w:style w:type="paragraph" w:styleId="4">
    <w:name w:val="Normal (Web)"/>
    <w:basedOn w:val="1"/>
    <w:autoRedefine/>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999</Words>
  <Characters>1131</Characters>
  <Lines>0</Lines>
  <Paragraphs>0</Paragraphs>
  <TotalTime>0</TotalTime>
  <ScaleCrop>false</ScaleCrop>
  <LinksUpToDate>false</LinksUpToDate>
  <CharactersWithSpaces>1151</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2024-04-01T08:34:00Z</dcterms:created>
  <dc:creator>fhj</dc:creator>
  <cp:lastModifiedBy>张娜</cp:lastModifiedBy>
  <dcterms:modified xsi:type="dcterms:W3CDTF">2024-04-18T08:10:14Z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5104EB79A90443E1BFC361A2E711C606_13</vt:lpwstr>
  </property>
</Properties>
</file>