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关于鹿邑县尾毛产业园区污水处理二期工程</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FF0000"/>
          <w:sz w:val="28"/>
          <w:szCs w:val="28"/>
          <w:highlight w:val="yellow"/>
        </w:rPr>
      </w:pPr>
      <w:r>
        <w:rPr>
          <w:rFonts w:hint="eastAsia" w:ascii="Times New Roman" w:cs="Times New Roman" w:hAnsiTheme="minorEastAsia"/>
          <w:sz w:val="28"/>
          <w:szCs w:val="28"/>
        </w:rPr>
        <w:t>根据建设项目环境影响评价审批程序的有关规定，经审议，我局拟对鹿邑县尾毛产业园区污水处理二期工程环境影响评价文件作出拟审批意见。为保证拟审批意见的严肃性和公正性，现将建设项目环境影响评价文件的基本情况予以公示。如有异议，</w:t>
      </w:r>
      <w:r>
        <w:rPr>
          <w:rFonts w:hint="eastAsia" w:ascii="Times New Roman" w:hAnsi="宋体" w:eastAsia="宋体" w:cs="Times New Roman"/>
          <w:kern w:val="2"/>
          <w:sz w:val="28"/>
          <w:szCs w:val="28"/>
          <w:lang w:val="en-US" w:eastAsia="zh-CN" w:bidi="ar-SA"/>
        </w:rPr>
        <w:t>请自本公告发布之日起5个工作日内反馈我局行政审批服务科</w:t>
      </w:r>
      <w:r>
        <w:rPr>
          <w:rFonts w:hint="eastAsia" w:ascii="Times New Roman" w:cs="Times New Roman" w:hAnsiTheme="minorEastAsia"/>
          <w:color w:val="FF0000"/>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w:t>
      </w:r>
      <w:bookmarkStart w:id="0" w:name="_GoBack"/>
      <w:bookmarkEnd w:id="0"/>
      <w:r>
        <w:rPr>
          <w:rFonts w:hint="eastAsia" w:ascii="Times New Roman" w:cs="Times New Roman" w:hAnsiTheme="minorEastAsia"/>
          <w:sz w:val="28"/>
          <w:szCs w:val="28"/>
        </w:rPr>
        <w:t>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color w:val="auto"/>
          <w:sz w:val="28"/>
          <w:szCs w:val="28"/>
          <w:lang w:eastAsia="zh-CN"/>
        </w:rPr>
        <w:t>书</w:t>
      </w:r>
    </w:p>
    <w:tbl>
      <w:tblPr>
        <w:tblStyle w:val="9"/>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2057"/>
        <w:gridCol w:w="7015"/>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2057"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015"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鹿邑县尾毛产业园区污水处理二期工程</w:t>
            </w:r>
          </w:p>
        </w:tc>
        <w:tc>
          <w:tcPr>
            <w:tcW w:w="1134" w:type="dxa"/>
            <w:shd w:val="clear" w:color="auto" w:fill="auto"/>
            <w:vAlign w:val="top"/>
          </w:tcPr>
          <w:p w14:paraId="1465480B">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鹿邑县北邻志元大道，西临祥龙路，东临吉贞路，在现状鹿邑县尾毛产业园区污水处理厂预留用地内</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鹿邑县城市管理局</w:t>
            </w:r>
          </w:p>
        </w:tc>
        <w:tc>
          <w:tcPr>
            <w:tcW w:w="850" w:type="dxa"/>
            <w:shd w:val="clear" w:color="auto" w:fill="auto"/>
            <w:vAlign w:val="top"/>
          </w:tcPr>
          <w:p w14:paraId="057D67B6">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河南秋晟环境科技有限公司</w:t>
            </w:r>
          </w:p>
        </w:tc>
        <w:tc>
          <w:tcPr>
            <w:tcW w:w="2057" w:type="dxa"/>
            <w:shd w:val="clear" w:color="auto" w:fill="auto"/>
            <w:vAlign w:val="top"/>
          </w:tcPr>
          <w:p w14:paraId="1FD9FB2D">
            <w:pP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项目为扩建项目，总投资6976.26万元，扩建污水处理规模7000m</w:t>
            </w:r>
            <w:r>
              <w:rPr>
                <w:rFonts w:hint="eastAsia" w:ascii="Times New Roman" w:hAnsi="Times New Roman" w:cs="Times New Roman"/>
                <w:kern w:val="2"/>
                <w:sz w:val="21"/>
                <w:szCs w:val="21"/>
                <w:vertAlign w:val="superscript"/>
                <w:lang w:val="en-US" w:eastAsia="zh-CN" w:bidi="ar-SA"/>
              </w:rPr>
              <w:t>3</w:t>
            </w:r>
            <w:r>
              <w:rPr>
                <w:rFonts w:hint="eastAsia" w:ascii="Times New Roman" w:hAnsi="Times New Roman" w:cs="Times New Roman"/>
                <w:kern w:val="2"/>
                <w:sz w:val="21"/>
                <w:szCs w:val="21"/>
                <w:lang w:val="en-US" w:eastAsia="zh-CN" w:bidi="ar-SA"/>
              </w:rPr>
              <w:t>/d，其中草编废水预处理工段设计规模500m</w:t>
            </w:r>
            <w:r>
              <w:rPr>
                <w:rFonts w:hint="eastAsia" w:ascii="Times New Roman" w:hAnsi="Times New Roman" w:cs="Times New Roman"/>
                <w:kern w:val="2"/>
                <w:sz w:val="21"/>
                <w:szCs w:val="21"/>
                <w:vertAlign w:val="superscript"/>
                <w:lang w:val="en-US" w:eastAsia="zh-CN" w:bidi="ar-SA"/>
              </w:rPr>
              <w:t>3</w:t>
            </w:r>
            <w:r>
              <w:rPr>
                <w:rFonts w:hint="eastAsia" w:ascii="Times New Roman" w:hAnsi="Times New Roman" w:cs="Times New Roman"/>
                <w:kern w:val="2"/>
                <w:sz w:val="21"/>
                <w:szCs w:val="21"/>
                <w:lang w:val="en-US" w:eastAsia="zh-CN" w:bidi="ar-SA"/>
              </w:rPr>
              <w:t>/d，项目污水处理系统采用“预处理（格栅+转筒过滤筛+调节池+超效浅层气浮）+厌氧生物处理（两级IC厌氧反应器）+好氧生物处理（双级A/O工艺）+深度处理（高级氧化反应池+深化反应池+高密度沉淀池+V型滤池）”处理工艺。</w:t>
            </w:r>
          </w:p>
        </w:tc>
        <w:tc>
          <w:tcPr>
            <w:tcW w:w="7015" w:type="dxa"/>
            <w:shd w:val="clear" w:color="auto" w:fill="auto"/>
            <w:vAlign w:val="top"/>
          </w:tcPr>
          <w:p w14:paraId="5350F06D">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kern w:val="2"/>
                <w:sz w:val="21"/>
                <w:szCs w:val="21"/>
                <w:lang w:val="en-US" w:eastAsia="zh-CN" w:bidi="ar-SA"/>
              </w:rPr>
            </w:pPr>
            <w:r>
              <w:rPr>
                <w:rFonts w:hint="eastAsia" w:ascii="Times New Roman" w:hAnsi="Times New Roman" w:cs="Times New Roman"/>
                <w:kern w:val="2"/>
                <w:sz w:val="21"/>
                <w:szCs w:val="21"/>
                <w:lang w:val="en-US" w:eastAsia="zh-CN" w:bidi="ar-SA"/>
              </w:rPr>
              <w:t>运营期水环境影响和污染防治措施：项目新增废水为冲洗废水等，经厂内污水管道排入格栅前的集水井后进入污水处理系统处理，处理后的废水水质满足《城镇污水处理厂污染物排放标准》（GB18918-2002）中一级A标准及《惠济河流域水污染物排放标准》（DB41/918-2014）表1中其他排污单位限值，尾水排入引惠入涡渠。</w:t>
            </w:r>
          </w:p>
          <w:p w14:paraId="334FC08C">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kern w:val="2"/>
                <w:sz w:val="21"/>
                <w:szCs w:val="21"/>
                <w:lang w:val="en-US" w:eastAsia="zh-CN" w:bidi="ar-SA"/>
              </w:rPr>
            </w:pPr>
            <w:r>
              <w:rPr>
                <w:rFonts w:hint="eastAsia" w:ascii="Times New Roman" w:hAnsi="Times New Roman" w:cs="Times New Roman"/>
                <w:kern w:val="2"/>
                <w:sz w:val="21"/>
                <w:szCs w:val="21"/>
                <w:lang w:val="en-US" w:eastAsia="zh-CN" w:bidi="ar-SA"/>
              </w:rPr>
              <w:t>运营期大气环境影响和污染防治措施：项目废气为恶臭气体，主要为NH</w:t>
            </w:r>
            <w:r>
              <w:rPr>
                <w:rFonts w:hint="eastAsia" w:ascii="Times New Roman" w:hAnsi="Times New Roman" w:cs="Times New Roman"/>
                <w:kern w:val="2"/>
                <w:sz w:val="21"/>
                <w:szCs w:val="21"/>
                <w:vertAlign w:val="subscript"/>
                <w:lang w:val="en-US" w:eastAsia="zh-CN" w:bidi="ar-SA"/>
              </w:rPr>
              <w:t>3</w:t>
            </w:r>
            <w:r>
              <w:rPr>
                <w:rFonts w:hint="eastAsia" w:ascii="Times New Roman" w:hAnsi="Times New Roman" w:cs="Times New Roman"/>
                <w:kern w:val="2"/>
                <w:sz w:val="21"/>
                <w:szCs w:val="21"/>
                <w:lang w:val="en-US" w:eastAsia="zh-CN" w:bidi="ar-SA"/>
              </w:rPr>
              <w:t>、H</w:t>
            </w:r>
            <w:r>
              <w:rPr>
                <w:rFonts w:hint="eastAsia" w:ascii="Times New Roman" w:hAnsi="Times New Roman" w:cs="Times New Roman"/>
                <w:kern w:val="2"/>
                <w:sz w:val="21"/>
                <w:szCs w:val="21"/>
                <w:vertAlign w:val="subscript"/>
                <w:lang w:val="en-US" w:eastAsia="zh-CN" w:bidi="ar-SA"/>
              </w:rPr>
              <w:t>2</w:t>
            </w:r>
            <w:r>
              <w:rPr>
                <w:rFonts w:hint="eastAsia" w:ascii="Times New Roman" w:hAnsi="Times New Roman" w:cs="Times New Roman"/>
                <w:kern w:val="2"/>
                <w:sz w:val="21"/>
                <w:szCs w:val="21"/>
                <w:lang w:val="en-US" w:eastAsia="zh-CN" w:bidi="ar-SA"/>
              </w:rPr>
              <w:t>S、臭气浓度（无量纲）。项目新增1套生物滤池除臭系统，现有工程的格栅渠和集水池、厌氧进水池、双级AO生化池、污泥浓缩池和污泥脱水间、本次扩建工程新增的双级AO生化池、草编废水预处理工段配套的污泥储池及污泥脱水间采用密封加盖处理，恶臭通过负压风机抽送进入生物滤池除臭装置进行处理，处理后通过15m高排气筒排放。恶臭污染物排放执行《恶臭污染物排放标准》GB14554-93）表2标准。</w:t>
            </w:r>
          </w:p>
          <w:p w14:paraId="05B3A3E8">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运营期噪声污染防治措施：项目噪声源主要为各种泵类、风机等，在对各噪声源采取减振垫减振、隔声、合理布局等降噪措施后，厂界四周满足《工业企业厂界环境噪声排放标准》（GB12348-2008</w:t>
            </w:r>
            <w:r>
              <w:rPr>
                <w:rFonts w:hint="default" w:ascii="Times New Roman" w:hAnsi="Times New Roman" w:cs="Times New Roman" w:eastAsiaTheme="minorEastAsia"/>
                <w:color w:val="auto"/>
                <w:kern w:val="2"/>
                <w:sz w:val="21"/>
                <w:szCs w:val="21"/>
                <w:lang w:val="en-US" w:eastAsia="zh-CN" w:bidi="ar-SA"/>
              </w:rPr>
              <w:t>）</w:t>
            </w:r>
            <w:r>
              <w:rPr>
                <w:rFonts w:hint="eastAsia" w:ascii="Times New Roman" w:hAnsi="Times New Roman" w:cs="Times New Roman"/>
                <w:color w:val="auto"/>
                <w:kern w:val="2"/>
                <w:sz w:val="21"/>
                <w:szCs w:val="21"/>
                <w:lang w:val="en-US" w:eastAsia="zh-CN" w:bidi="ar-SA"/>
              </w:rPr>
              <w:t>3</w:t>
            </w:r>
            <w:r>
              <w:rPr>
                <w:rFonts w:hint="default" w:ascii="Times New Roman" w:hAnsi="Times New Roman" w:cs="Times New Roman" w:eastAsiaTheme="minorEastAsia"/>
                <w:color w:val="auto"/>
                <w:kern w:val="2"/>
                <w:sz w:val="21"/>
                <w:szCs w:val="21"/>
                <w:lang w:val="en-US" w:eastAsia="zh-CN" w:bidi="ar-SA"/>
              </w:rPr>
              <w:t>类标准要</w:t>
            </w:r>
            <w:r>
              <w:rPr>
                <w:rFonts w:hint="default" w:ascii="Times New Roman" w:hAnsi="Times New Roman" w:cs="Times New Roman" w:eastAsiaTheme="minorEastAsia"/>
                <w:kern w:val="2"/>
                <w:sz w:val="21"/>
                <w:szCs w:val="21"/>
                <w:lang w:val="en-US" w:eastAsia="zh-CN" w:bidi="ar-SA"/>
              </w:rPr>
              <w:t>求。</w:t>
            </w:r>
          </w:p>
          <w:p w14:paraId="1F469FE0">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 xml:space="preserve">固体废弃物处置措施：栅渣等一般固废由环卫部门统一清运，定期送垃圾填埋场填埋；废实验废液、废化学试剂等危险废物集中收集后，暂存于危废暂存间后，由有资质单位定期处理。 </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onsolas">
    <w:panose1 w:val="020B0609020204030204"/>
    <w:charset w:val="00"/>
    <w:family w:val="auto"/>
    <w:pitch w:val="default"/>
    <w:sig w:usb0="E00006FF" w:usb1="0000FCFF" w:usb2="00000001" w:usb3="00000000" w:csb0="600001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4206CA"/>
    <w:multiLevelType w:val="singleLevel"/>
    <w:tmpl w:val="F84206CA"/>
    <w:lvl w:ilvl="0" w:tentative="0">
      <w:start w:val="1"/>
      <w:numFmt w:val="decimal"/>
      <w:suff w:val="nothing"/>
      <w:lvlText w:val="%1、"/>
      <w:lvlJc w:val="left"/>
    </w:lvl>
  </w:abstractNum>
  <w:abstractNum w:abstractNumId="1">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77104ED"/>
    <w:rsid w:val="0C771E12"/>
    <w:rsid w:val="0D79298D"/>
    <w:rsid w:val="117F61F0"/>
    <w:rsid w:val="16707C20"/>
    <w:rsid w:val="2473652D"/>
    <w:rsid w:val="27052EC1"/>
    <w:rsid w:val="282D1055"/>
    <w:rsid w:val="296348D8"/>
    <w:rsid w:val="2B033176"/>
    <w:rsid w:val="2BC50FE3"/>
    <w:rsid w:val="2FA70495"/>
    <w:rsid w:val="303C36D2"/>
    <w:rsid w:val="33D8698B"/>
    <w:rsid w:val="37D5281F"/>
    <w:rsid w:val="380B7797"/>
    <w:rsid w:val="3C9B48E8"/>
    <w:rsid w:val="43BA548A"/>
    <w:rsid w:val="44244342"/>
    <w:rsid w:val="46F550A6"/>
    <w:rsid w:val="4BA6413B"/>
    <w:rsid w:val="4D7E008B"/>
    <w:rsid w:val="57D2528B"/>
    <w:rsid w:val="5C5B5395"/>
    <w:rsid w:val="5CD65E0C"/>
    <w:rsid w:val="61EC0466"/>
    <w:rsid w:val="64DD0CB7"/>
    <w:rsid w:val="696541D7"/>
    <w:rsid w:val="777926F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Normal (Web)"/>
    <w:basedOn w:val="1"/>
    <w:semiHidden/>
    <w:unhideWhenUsed/>
    <w:qFormat/>
    <w:uiPriority w:val="99"/>
    <w:pPr>
      <w:spacing w:before="0" w:beforeAutospacing="0" w:after="0" w:afterAutospacing="0"/>
      <w:ind w:left="0" w:right="0"/>
      <w:jc w:val="left"/>
    </w:pPr>
    <w:rPr>
      <w:kern w:val="0"/>
      <w:sz w:val="24"/>
      <w:lang w:val="en-US" w:eastAsia="zh-CN" w:bidi="ar"/>
    </w:rPr>
  </w:style>
  <w:style w:type="paragraph" w:styleId="7">
    <w:name w:val="Body Text First Indent"/>
    <w:basedOn w:val="4"/>
    <w:next w:val="1"/>
    <w:unhideWhenUsed/>
    <w:qFormat/>
    <w:uiPriority w:val="0"/>
    <w:pPr>
      <w:ind w:firstLine="420" w:firstLineChars="100"/>
    </w:pPr>
  </w:style>
  <w:style w:type="table" w:styleId="9">
    <w:name w:val="Table Grid"/>
    <w:basedOn w:val="8"/>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1">
    <w:name w:val="Strong"/>
    <w:basedOn w:val="10"/>
    <w:qFormat/>
    <w:uiPriority w:val="22"/>
    <w:rPr>
      <w:b/>
      <w:bCs/>
    </w:rPr>
  </w:style>
  <w:style w:type="character" w:styleId="12">
    <w:name w:val="FollowedHyperlink"/>
    <w:basedOn w:val="10"/>
    <w:semiHidden/>
    <w:unhideWhenUsed/>
    <w:qFormat/>
    <w:uiPriority w:val="99"/>
    <w:rPr>
      <w:color w:val="333333"/>
      <w:u w:val="none"/>
    </w:rPr>
  </w:style>
  <w:style w:type="character" w:styleId="13">
    <w:name w:val="HTML Definition"/>
    <w:basedOn w:val="10"/>
    <w:semiHidden/>
    <w:unhideWhenUsed/>
    <w:qFormat/>
    <w:uiPriority w:val="99"/>
    <w:rPr>
      <w:i/>
      <w:iCs/>
    </w:rPr>
  </w:style>
  <w:style w:type="character" w:styleId="14">
    <w:name w:val="Hyperlink"/>
    <w:basedOn w:val="10"/>
    <w:semiHidden/>
    <w:unhideWhenUsed/>
    <w:qFormat/>
    <w:uiPriority w:val="99"/>
    <w:rPr>
      <w:color w:val="333333"/>
      <w:u w:val="none"/>
    </w:rPr>
  </w:style>
  <w:style w:type="character" w:styleId="15">
    <w:name w:val="HTML Code"/>
    <w:basedOn w:val="10"/>
    <w:semiHidden/>
    <w:unhideWhenUsed/>
    <w:qFormat/>
    <w:uiPriority w:val="99"/>
    <w:rPr>
      <w:rFonts w:hint="default" w:ascii="Consolas" w:hAnsi="Consolas" w:eastAsia="Consolas" w:cs="Consolas"/>
      <w:color w:val="C7254E"/>
      <w:sz w:val="21"/>
      <w:szCs w:val="21"/>
      <w:shd w:val="clear" w:fill="F9F2F4"/>
    </w:rPr>
  </w:style>
  <w:style w:type="character" w:styleId="16">
    <w:name w:val="HTML Keyboard"/>
    <w:basedOn w:val="10"/>
    <w:semiHidden/>
    <w:unhideWhenUsed/>
    <w:qFormat/>
    <w:uiPriority w:val="99"/>
    <w:rPr>
      <w:rFonts w:ascii="Consolas" w:hAnsi="Consolas" w:eastAsia="Consolas" w:cs="Consolas"/>
      <w:color w:val="FFFFFF"/>
      <w:sz w:val="21"/>
      <w:szCs w:val="21"/>
      <w:shd w:val="clear" w:fill="333333"/>
    </w:rPr>
  </w:style>
  <w:style w:type="character" w:styleId="17">
    <w:name w:val="HTML Sample"/>
    <w:basedOn w:val="10"/>
    <w:semiHidden/>
    <w:unhideWhenUsed/>
    <w:qFormat/>
    <w:uiPriority w:val="99"/>
    <w:rPr>
      <w:rFonts w:hint="default" w:ascii="Consolas" w:hAnsi="Consolas" w:eastAsia="Consolas" w:cs="Consolas"/>
      <w:sz w:val="21"/>
      <w:szCs w:val="21"/>
    </w:rPr>
  </w:style>
  <w:style w:type="paragraph" w:customStyle="1" w:styleId="18">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character" w:customStyle="1" w:styleId="19">
    <w:name w:val="zwxxgk_bnt6"/>
    <w:basedOn w:val="10"/>
    <w:qFormat/>
    <w:uiPriority w:val="0"/>
  </w:style>
  <w:style w:type="character" w:customStyle="1" w:styleId="20">
    <w:name w:val="hover4"/>
    <w:basedOn w:val="10"/>
    <w:qFormat/>
    <w:uiPriority w:val="0"/>
  </w:style>
  <w:style w:type="character" w:customStyle="1" w:styleId="21">
    <w:name w:val="zwxxgk_bnt5"/>
    <w:basedOn w:val="10"/>
    <w:uiPriority w:val="0"/>
  </w:style>
  <w:style w:type="character" w:customStyle="1" w:styleId="22">
    <w:name w:val="fontstyle01"/>
    <w:basedOn w:val="10"/>
    <w:uiPriority w:val="0"/>
    <w:rPr>
      <w:rFonts w:ascii="宋体" w:hAnsi="宋体" w:eastAsia="宋体" w:cs="宋体"/>
      <w:color w:val="000000"/>
      <w:sz w:val="18"/>
      <w:szCs w:val="18"/>
    </w:rPr>
  </w:style>
  <w:style w:type="character" w:customStyle="1" w:styleId="23">
    <w:name w:val="hover5"/>
    <w:basedOn w:val="10"/>
    <w:uiPriority w:val="0"/>
  </w:style>
  <w:style w:type="character" w:customStyle="1" w:styleId="24">
    <w:name w:val="hover"/>
    <w:basedOn w:val="10"/>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1196</Words>
  <Characters>1281</Characters>
  <Lines>13</Lines>
  <Paragraphs>3</Paragraphs>
  <TotalTime>2</TotalTime>
  <ScaleCrop>false</ScaleCrop>
  <LinksUpToDate>false</LinksUpToDate>
  <CharactersWithSpaces>1282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2025-11-14T07:24:11Z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94860026EB3B4334A86938CA00B9B21C_12</vt:lpwstr>
  </property>
  <property fmtid="{D5CDD505-2E9C-101B-9397-08002B2CF9AE}" pid="4" name="KSOTemplateDocerSaveRecord">
    <vt:lpwstr>eyJoZGlkIjoiNjg0MDBjN2JlODFkZTBiMzYyODkyNzM1Y2FkMjM2NmIiLCJ1c2VySWQiOiIyNjU4MDI5ODAifQ==</vt:lpwstr>
  </property>
</Properties>
</file>