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D8C29E">
      <w:pPr>
        <w:jc w:val="center"/>
        <w:rPr>
          <w:rFonts w:hint="eastAsia" w:ascii="黑体" w:hAnsi="黑体" w:eastAsia="黑体"/>
          <w:sz w:val="32"/>
          <w:szCs w:val="32"/>
          <w:lang w:val="en-US"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关于周口</w:t>
      </w:r>
      <w:r>
        <w:rPr>
          <w:rFonts w:hint="eastAsia" w:ascii="黑体" w:hAnsi="黑体" w:eastAsia="黑体"/>
          <w:sz w:val="32"/>
          <w:szCs w:val="32"/>
          <w:lang w:val="en-US" w:eastAsia="zh-CN"/>
        </w:rPr>
        <w:t>全钒液流电池储能装备新质造</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根据建设项目环境影响评价审批程序的有关规定，经审议，我局拟对周口</w:t>
      </w:r>
      <w:r>
        <w:rPr>
          <w:rFonts w:hint="eastAsia" w:ascii="Times New Roman" w:cs="Times New Roman" w:hAnsiTheme="minorEastAsia"/>
          <w:sz w:val="28"/>
          <w:szCs w:val="28"/>
          <w:lang w:val="en-US" w:eastAsia="zh-CN"/>
        </w:rPr>
        <w:t>全钒液流电池储能装备新质造</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如有异议，请自本公告发布之日起5个工作日内反馈我局行政审批服务科。</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9"/>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5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周口全钒液流电池储能装备新质造</w:t>
            </w:r>
          </w:p>
        </w:tc>
        <w:tc>
          <w:tcPr>
            <w:tcW w:w="1134" w:type="dxa"/>
            <w:shd w:val="clear" w:color="auto" w:fill="auto"/>
            <w:vAlign w:val="top"/>
          </w:tcPr>
          <w:p w14:paraId="1465480B">
            <w:pPr>
              <w:jc w:val="center"/>
              <w:rPr>
                <w:rFonts w:ascii="Times New Roman" w:hAnsi="Times New Roman" w:cs="Times New Roman" w:eastAsiaTheme="minorEastAsia"/>
                <w:kern w:val="2"/>
                <w:sz w:val="21"/>
                <w:szCs w:val="21"/>
                <w:lang w:val="en-US" w:eastAsia="zh-CN" w:bidi="ar-SA"/>
              </w:rPr>
            </w:pPr>
            <w:r>
              <w:rPr>
                <w:rFonts w:ascii="Times New Roman" w:hAnsi="Times New Roman" w:cs="Times New Roman" w:eastAsiaTheme="minorEastAsia"/>
                <w:kern w:val="2"/>
                <w:sz w:val="21"/>
                <w:szCs w:val="21"/>
                <w:lang w:val="en-US" w:eastAsia="zh-CN" w:bidi="ar-SA"/>
              </w:rPr>
              <w:t>河南省周口市</w:t>
            </w:r>
            <w:r>
              <w:rPr>
                <w:rFonts w:hint="eastAsia" w:ascii="Times New Roman" w:hAnsi="Times New Roman" w:cs="Times New Roman" w:eastAsiaTheme="minorEastAsia"/>
                <w:kern w:val="2"/>
                <w:sz w:val="21"/>
                <w:szCs w:val="21"/>
                <w:lang w:val="en-US" w:eastAsia="zh-CN" w:bidi="ar-SA"/>
              </w:rPr>
              <w:t>临港开发区麦仁店路以西，朝阳路以东，徐庄路以南，昌盛路以北</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周口融汇储能科技有限责任公司</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河南郑综环保科技有限公司</w:t>
            </w:r>
          </w:p>
        </w:tc>
        <w:tc>
          <w:tcPr>
            <w:tcW w:w="1593" w:type="dxa"/>
            <w:shd w:val="clear" w:color="auto" w:fill="auto"/>
            <w:vAlign w:val="top"/>
          </w:tcPr>
          <w:p w14:paraId="1FD9FB2D">
            <w:pP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项目占地面积约91760.2m</w:t>
            </w:r>
            <w:r>
              <w:rPr>
                <w:rFonts w:hint="eastAsia" w:ascii="Times New Roman" w:hAnsi="Times New Roman" w:cs="Times New Roman" w:eastAsiaTheme="minorEastAsia"/>
                <w:kern w:val="2"/>
                <w:sz w:val="21"/>
                <w:szCs w:val="21"/>
                <w:vertAlign w:val="superscript"/>
                <w:lang w:val="en-US" w:eastAsia="zh-CN" w:bidi="ar-SA"/>
              </w:rPr>
              <w:t>2</w:t>
            </w:r>
            <w:r>
              <w:rPr>
                <w:rFonts w:hint="eastAsia" w:ascii="Times New Roman" w:hAnsi="Times New Roman" w:cs="Times New Roman" w:eastAsiaTheme="minorEastAsia"/>
                <w:kern w:val="2"/>
                <w:sz w:val="21"/>
                <w:szCs w:val="21"/>
                <w:lang w:val="en-US" w:eastAsia="zh-CN" w:bidi="ar-SA"/>
              </w:rPr>
              <w:t>，主要建设电堆车间、系统集成车间及库房、综合楼等，新建一条可生产制造各种规格的全钒液流电池电堆生产线和新建一条全钒液流电池储能系统集成生产线。项目总投资33770万元</w:t>
            </w:r>
            <w:r>
              <w:rPr>
                <w:rFonts w:hint="eastAsia" w:ascii="Times New Roman" w:hAnsi="Times New Roman" w:cs="Times New Roman"/>
                <w:kern w:val="2"/>
                <w:sz w:val="21"/>
                <w:szCs w:val="21"/>
                <w:lang w:val="en-US" w:eastAsia="zh-CN" w:bidi="ar-SA"/>
              </w:rPr>
              <w:t>。</w:t>
            </w:r>
          </w:p>
        </w:tc>
        <w:tc>
          <w:tcPr>
            <w:tcW w:w="7479" w:type="dxa"/>
            <w:shd w:val="clear" w:color="auto" w:fill="auto"/>
            <w:vAlign w:val="top"/>
          </w:tcPr>
          <w:p w14:paraId="5B945BC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right="0" w:rightChars="0" w:firstLine="420" w:firstLineChars="200"/>
              <w:jc w:val="both"/>
              <w:textAlignment w:val="auto"/>
              <w:outlineLvl w:val="9"/>
              <w:rPr>
                <w:rFonts w:hint="eastAsia" w:ascii="Times New Roman" w:hAnsi="Times New Roman" w:cs="Times New Roman"/>
                <w:kern w:val="2"/>
                <w:sz w:val="21"/>
                <w:szCs w:val="21"/>
                <w:lang w:val="en-US" w:eastAsia="zh-CN" w:bidi="ar-SA"/>
              </w:rPr>
            </w:pPr>
            <w:r>
              <w:rPr>
                <w:rFonts w:hint="eastAsia" w:ascii="Times New Roman" w:hAnsi="Times New Roman" w:cs="Times New Roman"/>
                <w:kern w:val="2"/>
                <w:sz w:val="21"/>
                <w:szCs w:val="21"/>
                <w:lang w:val="en-US" w:eastAsia="zh-CN" w:bidi="ar-SA"/>
              </w:rPr>
              <w:t>1.废气：点胶和粘接废气经集气罩收集后，经密闭管道引入一套“两级活性炭吸附”装置处理，处理后经1根15m高排气筒排放；危险废物暂存间废气收集后，经“两级活性炭吸附装置”进行处理，处理后经1根15m高排气筒排放，满足《大气污染物综合排放标准》（GB16297-1996）及《河南省重污染天气重点行业应急减排措施制定技术指南（2024年修订版）》限值要求；裁切、雕刻产生的无组织颗粒物满足《电池工业污染物排放标准》（GB30484-2013）；无组织非甲烷总烃满足《电池工业污染物排放标准》（GB30484-2013）及《关于全省开展工业企业挥发性有机物专项治理工作中排放建议值的通知》（豫环攻坚办〔2017〕162号）限值要求；餐厅油烟废气经“动态离心+静电式”复合式净化设备处理，处理后通过餐厅楼顶排放口排放。排放浓度满足《餐饮业油烟污染物排放标准》（DB41/1604-2018）</w:t>
            </w:r>
            <w:r>
              <w:rPr>
                <w:color w:val="auto"/>
                <w:kern w:val="0"/>
                <w:szCs w:val="21"/>
                <w:lang w:bidi="ar"/>
              </w:rPr>
              <w:t>表</w:t>
            </w:r>
            <w:r>
              <w:rPr>
                <w:rFonts w:hint="default" w:ascii="Times New Roman" w:hAnsi="Times New Roman" w:cs="Times New Roman"/>
                <w:color w:val="auto"/>
                <w:kern w:val="0"/>
                <w:szCs w:val="21"/>
                <w:lang w:bidi="ar"/>
              </w:rPr>
              <w:t>1</w:t>
            </w:r>
            <w:r>
              <w:rPr>
                <w:rFonts w:hint="eastAsia"/>
                <w:color w:val="auto"/>
                <w:kern w:val="0"/>
                <w:szCs w:val="21"/>
                <w:lang w:val="en-US" w:eastAsia="zh-CN" w:bidi="ar"/>
              </w:rPr>
              <w:t>大</w:t>
            </w:r>
            <w:r>
              <w:rPr>
                <w:color w:val="auto"/>
                <w:kern w:val="0"/>
                <w:szCs w:val="21"/>
                <w:lang w:bidi="ar"/>
              </w:rPr>
              <w:t>型</w:t>
            </w:r>
            <w:r>
              <w:rPr>
                <w:rFonts w:hint="eastAsia"/>
                <w:color w:val="auto"/>
                <w:kern w:val="0"/>
                <w:szCs w:val="21"/>
                <w:lang w:eastAsia="zh-CN" w:bidi="ar"/>
              </w:rPr>
              <w:t>（</w:t>
            </w:r>
            <w:r>
              <w:rPr>
                <w:rFonts w:hint="default" w:ascii="Times New Roman" w:hAnsi="Times New Roman" w:cs="Times New Roman"/>
                <w:bCs/>
                <w:sz w:val="21"/>
                <w:szCs w:val="21"/>
                <w:lang w:val="en-US" w:eastAsia="zh-CN"/>
              </w:rPr>
              <w:t>油烟</w:t>
            </w:r>
            <w:r>
              <w:rPr>
                <w:rFonts w:hint="default" w:ascii="Times New Roman" w:hAnsi="Times New Roman" w:cs="Times New Roman"/>
                <w:bCs/>
                <w:sz w:val="21"/>
                <w:szCs w:val="21"/>
                <w:lang w:eastAsia="zh-CN"/>
              </w:rPr>
              <w:t>1.</w:t>
            </w:r>
            <w:r>
              <w:rPr>
                <w:rFonts w:hint="default" w:ascii="Times New Roman" w:hAnsi="Times New Roman" w:cs="Times New Roman"/>
                <w:bCs/>
                <w:sz w:val="21"/>
                <w:szCs w:val="21"/>
                <w:lang w:val="en-US" w:eastAsia="zh-CN"/>
              </w:rPr>
              <w:t>0</w:t>
            </w:r>
            <w:r>
              <w:rPr>
                <w:rFonts w:hint="default" w:ascii="Times New Roman" w:hAnsi="Times New Roman" w:cs="Times New Roman"/>
                <w:bCs/>
                <w:sz w:val="21"/>
                <w:szCs w:val="21"/>
                <w:lang w:eastAsia="zh-CN"/>
              </w:rPr>
              <w:t>mg/m</w:t>
            </w:r>
            <w:r>
              <w:rPr>
                <w:rFonts w:hint="default" w:ascii="Times New Roman" w:hAnsi="Times New Roman" w:cs="Times New Roman"/>
                <w:bCs/>
                <w:sz w:val="21"/>
                <w:szCs w:val="21"/>
                <w:vertAlign w:val="superscript"/>
                <w:lang w:eastAsia="zh-CN"/>
              </w:rPr>
              <w:t>3</w:t>
            </w:r>
            <w:r>
              <w:rPr>
                <w:rFonts w:hint="default" w:ascii="Times New Roman" w:hAnsi="Times New Roman" w:cs="Times New Roman"/>
                <w:bCs/>
                <w:sz w:val="21"/>
                <w:szCs w:val="21"/>
                <w:lang w:eastAsia="zh-CN"/>
              </w:rPr>
              <w:t>、</w:t>
            </w:r>
            <w:r>
              <w:rPr>
                <w:rFonts w:hint="default" w:ascii="Times New Roman" w:hAnsi="Times New Roman" w:cs="Times New Roman"/>
                <w:bCs/>
                <w:sz w:val="21"/>
                <w:szCs w:val="21"/>
                <w:lang w:val="en-US" w:eastAsia="zh-CN"/>
              </w:rPr>
              <w:t>非甲烷总烃</w:t>
            </w:r>
            <w:r>
              <w:rPr>
                <w:rFonts w:hint="default" w:ascii="Times New Roman" w:hAnsi="Times New Roman" w:cs="Times New Roman"/>
                <w:bCs/>
                <w:sz w:val="21"/>
                <w:szCs w:val="21"/>
                <w:lang w:eastAsia="zh-CN"/>
              </w:rPr>
              <w:t>1</w:t>
            </w:r>
            <w:r>
              <w:rPr>
                <w:rFonts w:hint="default" w:ascii="Times New Roman" w:hAnsi="Times New Roman" w:cs="Times New Roman"/>
                <w:bCs/>
                <w:sz w:val="21"/>
                <w:szCs w:val="21"/>
                <w:lang w:val="en-US" w:eastAsia="zh-CN"/>
              </w:rPr>
              <w:t>0</w:t>
            </w:r>
            <w:r>
              <w:rPr>
                <w:rFonts w:hint="default" w:ascii="Times New Roman" w:hAnsi="Times New Roman" w:cs="Times New Roman"/>
                <w:bCs/>
                <w:sz w:val="21"/>
                <w:szCs w:val="21"/>
                <w:lang w:eastAsia="zh-CN"/>
              </w:rPr>
              <w:t>mg/m</w:t>
            </w:r>
            <w:r>
              <w:rPr>
                <w:rFonts w:hint="default" w:ascii="Times New Roman" w:hAnsi="Times New Roman" w:cs="Times New Roman"/>
                <w:bCs/>
                <w:sz w:val="21"/>
                <w:szCs w:val="21"/>
                <w:vertAlign w:val="superscript"/>
                <w:lang w:eastAsia="zh-CN"/>
              </w:rPr>
              <w:t>3</w:t>
            </w:r>
            <w:r>
              <w:rPr>
                <w:rFonts w:hint="default" w:ascii="Times New Roman" w:hAnsi="Times New Roman" w:cs="Times New Roman"/>
                <w:bCs/>
                <w:sz w:val="21"/>
                <w:szCs w:val="21"/>
                <w:vertAlign w:val="baseline"/>
                <w:lang w:eastAsia="zh-CN"/>
              </w:rPr>
              <w:t>，</w:t>
            </w:r>
            <w:r>
              <w:rPr>
                <w:rFonts w:hint="default" w:ascii="Times New Roman" w:hAnsi="Times New Roman" w:cs="Times New Roman"/>
                <w:bCs/>
                <w:sz w:val="21"/>
                <w:szCs w:val="21"/>
                <w:lang w:eastAsia="zh-CN"/>
              </w:rPr>
              <w:t>去除率≥9</w:t>
            </w:r>
            <w:r>
              <w:rPr>
                <w:rFonts w:hint="default" w:ascii="Times New Roman" w:hAnsi="Times New Roman" w:cs="Times New Roman"/>
                <w:bCs/>
                <w:sz w:val="21"/>
                <w:szCs w:val="21"/>
                <w:lang w:val="en-US" w:eastAsia="zh-CN"/>
              </w:rPr>
              <w:t>5</w:t>
            </w:r>
            <w:r>
              <w:rPr>
                <w:rFonts w:hint="default" w:ascii="Times New Roman" w:hAnsi="Times New Roman" w:cs="Times New Roman"/>
                <w:bCs/>
                <w:sz w:val="21"/>
                <w:szCs w:val="21"/>
                <w:lang w:eastAsia="zh-CN"/>
              </w:rPr>
              <w:t>%</w:t>
            </w:r>
            <w:r>
              <w:rPr>
                <w:rFonts w:hint="eastAsia"/>
                <w:color w:val="auto"/>
                <w:kern w:val="0"/>
                <w:szCs w:val="21"/>
                <w:lang w:eastAsia="zh-CN" w:bidi="ar"/>
              </w:rPr>
              <w:t>）</w:t>
            </w:r>
            <w:r>
              <w:rPr>
                <w:color w:val="auto"/>
                <w:kern w:val="0"/>
                <w:szCs w:val="21"/>
                <w:lang w:bidi="ar"/>
              </w:rPr>
              <w:t>标准排放限值</w:t>
            </w:r>
            <w:r>
              <w:rPr>
                <w:rFonts w:hint="eastAsia" w:ascii="Times New Roman" w:hAnsi="Times New Roman" w:cs="Times New Roman"/>
                <w:kern w:val="2"/>
                <w:sz w:val="21"/>
                <w:szCs w:val="21"/>
                <w:lang w:val="en-US" w:eastAsia="zh-CN" w:bidi="ar-SA"/>
              </w:rPr>
              <w:t>要求；</w:t>
            </w:r>
          </w:p>
          <w:p w14:paraId="47F8F36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b w:val="0"/>
                <w:bCs w:val="0"/>
                <w:color w:val="auto"/>
                <w:szCs w:val="21"/>
                <w:u w:val="none"/>
                <w:lang w:val="en-US" w:eastAsia="zh-CN"/>
              </w:rPr>
            </w:pPr>
            <w:r>
              <w:rPr>
                <w:rFonts w:hint="eastAsia" w:ascii="Times New Roman" w:hAnsi="Times New Roman" w:cs="Times New Roman"/>
                <w:kern w:val="2"/>
                <w:sz w:val="21"/>
                <w:szCs w:val="21"/>
                <w:lang w:val="en-US" w:eastAsia="zh-CN" w:bidi="ar-SA"/>
              </w:rPr>
              <w:t>2.废水：</w:t>
            </w:r>
            <w:r>
              <w:rPr>
                <w:rFonts w:hint="eastAsia"/>
                <w:b w:val="0"/>
                <w:bCs w:val="0"/>
                <w:color w:val="auto"/>
                <w:szCs w:val="21"/>
                <w:u w:val="none"/>
                <w:lang w:val="en-US" w:eastAsia="zh-CN"/>
              </w:rPr>
              <w:t>生活污水经化粪池处理后，通过市政污水管网排入周口市沙南污水处理厂进一步处理；</w:t>
            </w:r>
          </w:p>
          <w:p w14:paraId="7E2BD32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b w:val="0"/>
                <w:bCs w:val="0"/>
                <w:color w:val="auto"/>
                <w:szCs w:val="21"/>
                <w:u w:val="none"/>
                <w:lang w:val="en-US" w:eastAsia="zh-CN"/>
              </w:rPr>
            </w:pPr>
            <w:r>
              <w:rPr>
                <w:rFonts w:hint="default" w:ascii="Times New Roman" w:hAnsi="Times New Roman" w:cs="Times New Roman"/>
                <w:b w:val="0"/>
                <w:bCs w:val="0"/>
                <w:color w:val="auto"/>
                <w:szCs w:val="21"/>
                <w:u w:val="none"/>
                <w:lang w:val="en-US" w:eastAsia="zh-CN"/>
              </w:rPr>
              <w:t>3.</w:t>
            </w:r>
            <w:r>
              <w:rPr>
                <w:rFonts w:hint="eastAsia" w:ascii="Times New Roman" w:hAnsi="Times New Roman" w:cs="Times New Roman"/>
                <w:b w:val="0"/>
                <w:bCs w:val="0"/>
                <w:color w:val="auto"/>
                <w:szCs w:val="21"/>
                <w:u w:val="none"/>
                <w:lang w:val="en-US" w:eastAsia="zh-CN"/>
              </w:rPr>
              <w:t>固废：生活垃圾集中收集后，交由环卫部门清运处理；废边角料（包括离子交换膜、碳毡、双极板、管路等）、废包装材料、废零件（离子交换膜、电极框、双极板等）、吸尘器收尘收集暂存于一般固废暂存间，定期处理；失效电解液、含油废抹布、手套、废液压油、废胶桶和废活性炭分类收集，暂存于危险废物暂存间，定期交由有资质的单位进行处理；</w:t>
            </w:r>
          </w:p>
          <w:p w14:paraId="71B44F2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ascii="Times New Roman" w:hAnsi="Times New Roman" w:cs="Times New Roman"/>
                <w:b w:val="0"/>
                <w:bCs w:val="0"/>
                <w:color w:val="auto"/>
                <w:kern w:val="0"/>
                <w:sz w:val="21"/>
                <w:szCs w:val="21"/>
                <w:highlight w:val="none"/>
                <w:u w:val="none"/>
                <w:lang w:val="en-US" w:eastAsia="zh-CN"/>
              </w:rPr>
            </w:pPr>
            <w:r>
              <w:rPr>
                <w:rFonts w:hint="eastAsia" w:ascii="Times New Roman" w:hAnsi="Times New Roman" w:cs="Times New Roman"/>
                <w:b w:val="0"/>
                <w:bCs w:val="0"/>
                <w:color w:val="auto"/>
                <w:kern w:val="0"/>
                <w:sz w:val="21"/>
                <w:szCs w:val="21"/>
                <w:highlight w:val="none"/>
                <w:u w:val="none"/>
                <w:lang w:val="en-US" w:eastAsia="zh-CN"/>
              </w:rPr>
              <w:t>4.噪声：通过合理布局，并优先选用低噪设备，基础减振、厂房隔声等措施后，项目厂界噪声贡献值均满足《工业企业厂界环境噪声排放标准》（GB12348-2008）3类标准要求。</w:t>
            </w:r>
            <w:bookmarkStart w:id="0" w:name="_GoBack"/>
            <w:bookmarkEnd w:id="0"/>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0D"/>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6"/>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mNjY0OWM0ZmM5NDE4NjcxYmU4ODI1ODcyMjE2NDEifQ=="/>
  </w:docVars>
  <w:rsids>
    <w:rsidRoot w:val="001E5CDA"/>
    <w:rsid w:val="000254D6"/>
    <w:rsid w:val="00137019"/>
    <w:rsid w:val="001E5CDA"/>
    <w:rsid w:val="00EE20F3"/>
    <w:rsid w:val="02841B04"/>
    <w:rsid w:val="0C771E12"/>
    <w:rsid w:val="0D79298D"/>
    <w:rsid w:val="117F61F0"/>
    <w:rsid w:val="16707C20"/>
    <w:rsid w:val="2473652D"/>
    <w:rsid w:val="27052EC1"/>
    <w:rsid w:val="296348D8"/>
    <w:rsid w:val="2B033176"/>
    <w:rsid w:val="2BC50FE3"/>
    <w:rsid w:val="2FA70495"/>
    <w:rsid w:val="303C36D2"/>
    <w:rsid w:val="33D8698B"/>
    <w:rsid w:val="37D5281F"/>
    <w:rsid w:val="39143438"/>
    <w:rsid w:val="3C9B48E8"/>
    <w:rsid w:val="3E5B195E"/>
    <w:rsid w:val="43BA548A"/>
    <w:rsid w:val="44244342"/>
    <w:rsid w:val="46F550A6"/>
    <w:rsid w:val="4BA6413B"/>
    <w:rsid w:val="4D7E008B"/>
    <w:rsid w:val="4FB85353"/>
    <w:rsid w:val="4FC37017"/>
    <w:rsid w:val="53723FDA"/>
    <w:rsid w:val="5C5B5395"/>
    <w:rsid w:val="5CD65E0C"/>
    <w:rsid w:val="61EC0466"/>
    <w:rsid w:val="69654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paragraph" w:styleId="2">
    <w:name w:val="heading 4"/>
    <w:basedOn w:val="1"/>
    <w:next w:val="1"/>
    <w:qFormat/>
    <w:uiPriority w:val="0"/>
    <w:pPr>
      <w:keepNext/>
      <w:keepLines/>
      <w:spacing w:line="360" w:lineRule="auto"/>
      <w:ind w:firstLine="0" w:firstLineChars="0"/>
      <w:outlineLvl w:val="3"/>
    </w:pPr>
    <w:rPr>
      <w:rFonts w:ascii="Times New Roman" w:hAnsi="Times New Roman" w:eastAsia="宋体"/>
      <w:b/>
      <w:bCs/>
      <w:sz w:val="24"/>
      <w:szCs w:val="28"/>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4">
    <w:name w:val="Normal Indent"/>
    <w:basedOn w:val="1"/>
    <w:next w:val="1"/>
    <w:qFormat/>
    <w:uiPriority w:val="0"/>
    <w:pPr>
      <w:spacing w:line="520" w:lineRule="atLeast"/>
      <w:ind w:firstLine="200"/>
    </w:pPr>
    <w:rPr>
      <w:sz w:val="28"/>
      <w:szCs w:val="21"/>
    </w:rPr>
  </w:style>
  <w:style w:type="paragraph" w:styleId="5">
    <w:name w:val="Body Text"/>
    <w:basedOn w:val="1"/>
    <w:next w:val="6"/>
    <w:qFormat/>
    <w:uiPriority w:val="0"/>
    <w:pPr>
      <w:spacing w:line="400" w:lineRule="exact"/>
    </w:pPr>
    <w:rPr>
      <w:sz w:val="28"/>
    </w:rPr>
  </w:style>
  <w:style w:type="paragraph" w:styleId="6">
    <w:name w:val="List Bullet 5"/>
    <w:basedOn w:val="1"/>
    <w:semiHidden/>
    <w:unhideWhenUsed/>
    <w:qFormat/>
    <w:uiPriority w:val="99"/>
    <w:pPr>
      <w:numPr>
        <w:ilvl w:val="0"/>
        <w:numId w:val="1"/>
      </w:numPr>
    </w:pPr>
  </w:style>
  <w:style w:type="paragraph" w:styleId="7">
    <w:name w:val="Body Text First Indent"/>
    <w:basedOn w:val="5"/>
    <w:next w:val="1"/>
    <w:unhideWhenUsed/>
    <w:qFormat/>
    <w:uiPriority w:val="0"/>
    <w:pPr>
      <w:ind w:firstLine="420" w:firstLineChars="100"/>
    </w:pPr>
  </w:style>
  <w:style w:type="table" w:styleId="9">
    <w:name w:val="Table Grid"/>
    <w:basedOn w:val="8"/>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1">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1253</Words>
  <Characters>1365</Characters>
  <Lines>13</Lines>
  <Paragraphs>3</Paragraphs>
  <TotalTime>0</TotalTime>
  <ScaleCrop>false</ScaleCrop>
  <LinksUpToDate>false</LinksUpToDate>
  <CharactersWithSpaces>1365</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棠⁓棣</cp:lastModifiedBy>
  <dcterms:modified xsi:type="dcterms:W3CDTF">2025-06-26T01:08:15Z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3EC83E7F13A74ECCA382F1D73C5BA3FB_13</vt:lpwstr>
  </property>
  <property fmtid="{D5CDD505-2E9C-101B-9397-08002B2CF9AE}" pid="4" name="KSOTemplateDocerSaveRecord">
    <vt:lpwstr>eyJoZGlkIjoiMmQwYmRmYTM0YmVlYTFkNzM5Yzk1ZmNhNjRjMTRlMDkiLCJ1c2VySWQiOiI1OTc5MTA4ODYifQ==</vt:lpwstr>
  </property>
</Properties>
</file>