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C500E0">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r>
        <w:rPr>
          <w:rFonts w:hint="eastAsia" w:ascii="黑体" w:hAnsi="黑体" w:eastAsia="黑体"/>
          <w:sz w:val="32"/>
          <w:szCs w:val="32"/>
          <w:lang w:val="en-US" w:eastAsia="zh-CN"/>
        </w:rPr>
        <w:t>周口雷鸿环保科技有限公司储存转运3000吨废机油项目</w:t>
      </w:r>
    </w:p>
    <w:p w14:paraId="6D12B97B">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3A5437F2">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val="en-US" w:eastAsia="zh-CN"/>
        </w:rPr>
        <w:t>周口雷鸿环保科技有限公司储存转运3000吨废机油</w:t>
      </w:r>
      <w:r>
        <w:rPr>
          <w:rFonts w:hint="eastAsia" w:ascii="Times New Roman" w:cs="Times New Roman" w:hAnsiTheme="minorEastAsia"/>
          <w:sz w:val="28"/>
          <w:szCs w:val="28"/>
          <w:lang w:eastAsia="zh-CN"/>
        </w:rPr>
        <w:t>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18</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24</w:t>
      </w:r>
      <w:r>
        <w:rPr>
          <w:rFonts w:hint="eastAsia" w:ascii="Times New Roman" w:cs="Times New Roman" w:hAnsiTheme="minorEastAsia"/>
          <w:color w:val="auto"/>
          <w:sz w:val="28"/>
          <w:szCs w:val="28"/>
          <w:highlight w:val="none"/>
        </w:rPr>
        <w:t>日。</w:t>
      </w:r>
    </w:p>
    <w:p w14:paraId="76DF954D">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w:t>
      </w:r>
      <w:bookmarkStart w:id="0" w:name="_GoBack"/>
      <w:bookmarkEnd w:id="0"/>
      <w:r>
        <w:rPr>
          <w:rFonts w:hint="eastAsia" w:ascii="Times New Roman" w:cs="Times New Roman" w:hAnsiTheme="minorEastAsia"/>
          <w:sz w:val="28"/>
          <w:szCs w:val="28"/>
        </w:rPr>
        <w:t>4-8278830</w:t>
      </w:r>
    </w:p>
    <w:p w14:paraId="76F7B3E3">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595601C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44FDAA63">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1A5144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1F949DC6">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5BE3A89A">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265AD537">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4AB125C2">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163CDFD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25E1BF2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0B60DF3D">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0C770352">
            <w:pPr>
              <w:jc w:val="center"/>
              <w:rPr>
                <w:rFonts w:ascii="Times New Roman" w:hAnsi="Times New Roman" w:cs="Times New Roman"/>
                <w:szCs w:val="21"/>
              </w:rPr>
            </w:pPr>
            <w:r>
              <w:rPr>
                <w:rFonts w:ascii="Times New Roman" w:cs="Times New Roman" w:hAnsiTheme="minorEastAsia"/>
                <w:szCs w:val="21"/>
              </w:rPr>
              <w:t>公众参与情况</w:t>
            </w:r>
          </w:p>
        </w:tc>
      </w:tr>
      <w:tr w14:paraId="13B101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5A5C86AE">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25D5A2A6">
            <w:pPr>
              <w:jc w:val="center"/>
              <w:rPr>
                <w:rFonts w:hint="eastAsia" w:eastAsia="宋体"/>
                <w:sz w:val="24"/>
                <w:szCs w:val="24"/>
                <w:lang w:val="en-US" w:eastAsia="zh-CN"/>
              </w:rPr>
            </w:pPr>
          </w:p>
          <w:p w14:paraId="49162286">
            <w:pPr>
              <w:jc w:val="center"/>
              <w:rPr>
                <w:rFonts w:hint="eastAsia" w:eastAsia="宋体"/>
                <w:sz w:val="24"/>
                <w:szCs w:val="24"/>
                <w:lang w:val="en-US" w:eastAsia="zh-CN"/>
              </w:rPr>
            </w:pPr>
          </w:p>
          <w:p w14:paraId="18D372D0">
            <w:pPr>
              <w:jc w:val="center"/>
              <w:rPr>
                <w:rFonts w:hint="eastAsia" w:eastAsia="宋体"/>
                <w:sz w:val="24"/>
                <w:szCs w:val="24"/>
                <w:lang w:val="en-US" w:eastAsia="zh-CN"/>
              </w:rPr>
            </w:pPr>
          </w:p>
          <w:p w14:paraId="249524FF">
            <w:pPr>
              <w:pStyle w:val="2"/>
              <w:rPr>
                <w:rFonts w:hint="eastAsia"/>
                <w:lang w:val="en-US" w:eastAsia="zh-CN"/>
              </w:rPr>
            </w:pPr>
          </w:p>
          <w:p w14:paraId="4AAA0598">
            <w:pPr>
              <w:jc w:val="center"/>
              <w:rPr>
                <w:rFonts w:hint="eastAsia" w:ascii="Times New Roman" w:hAnsi="Times New Roman" w:cs="Times New Roman" w:eastAsiaTheme="minorEastAsia"/>
                <w:kern w:val="2"/>
                <w:sz w:val="21"/>
                <w:szCs w:val="21"/>
                <w:lang w:val="en-US" w:eastAsia="zh-CN" w:bidi="ar-SA"/>
              </w:rPr>
            </w:pPr>
            <w:r>
              <w:rPr>
                <w:rFonts w:hint="eastAsia" w:eastAsia="宋体"/>
                <w:sz w:val="24"/>
                <w:szCs w:val="24"/>
                <w:lang w:val="en-US" w:eastAsia="zh-CN"/>
              </w:rPr>
              <w:t>周口雷鸿环保科技有限公司储存转运3000吨废机油项目</w:t>
            </w:r>
          </w:p>
        </w:tc>
        <w:tc>
          <w:tcPr>
            <w:tcW w:w="1134" w:type="dxa"/>
            <w:shd w:val="clear" w:color="auto" w:fill="auto"/>
            <w:vAlign w:val="top"/>
          </w:tcPr>
          <w:p w14:paraId="493079EB">
            <w:pPr>
              <w:jc w:val="center"/>
              <w:rPr>
                <w:rFonts w:hint="eastAsia" w:eastAsia="宋体"/>
                <w:sz w:val="24"/>
                <w:szCs w:val="24"/>
                <w:lang w:val="en-US" w:eastAsia="zh-CN"/>
              </w:rPr>
            </w:pPr>
          </w:p>
          <w:p w14:paraId="677613BF">
            <w:pPr>
              <w:jc w:val="center"/>
              <w:rPr>
                <w:rFonts w:hint="eastAsia" w:eastAsia="宋体"/>
                <w:sz w:val="24"/>
                <w:szCs w:val="24"/>
                <w:lang w:val="en-US" w:eastAsia="zh-CN"/>
              </w:rPr>
            </w:pPr>
          </w:p>
          <w:p w14:paraId="2C21B32E">
            <w:pPr>
              <w:pStyle w:val="2"/>
              <w:rPr>
                <w:rFonts w:hint="eastAsia"/>
                <w:lang w:val="en-US" w:eastAsia="zh-CN"/>
              </w:rPr>
            </w:pPr>
          </w:p>
          <w:p w14:paraId="2B90FF4E">
            <w:pPr>
              <w:jc w:val="center"/>
              <w:rPr>
                <w:rFonts w:ascii="Times New Roman" w:hAnsi="Times New Roman" w:cs="Times New Roman" w:eastAsiaTheme="minorEastAsia"/>
                <w:kern w:val="2"/>
                <w:sz w:val="21"/>
                <w:szCs w:val="21"/>
                <w:lang w:val="en-US" w:eastAsia="zh-CN" w:bidi="ar-SA"/>
              </w:rPr>
            </w:pPr>
            <w:r>
              <w:rPr>
                <w:rFonts w:hint="eastAsia" w:eastAsia="宋体"/>
                <w:sz w:val="24"/>
                <w:szCs w:val="24"/>
                <w:lang w:val="en-US" w:eastAsia="zh-CN"/>
              </w:rPr>
              <w:t>周口市太康县先进制造业开发区河南省太康县毛庄镇产业集聚区中天威能锅炉院内14号</w:t>
            </w:r>
          </w:p>
        </w:tc>
        <w:tc>
          <w:tcPr>
            <w:tcW w:w="709" w:type="dxa"/>
            <w:shd w:val="clear" w:color="auto" w:fill="auto"/>
            <w:vAlign w:val="top"/>
          </w:tcPr>
          <w:p w14:paraId="22303F7F">
            <w:pPr>
              <w:jc w:val="center"/>
              <w:rPr>
                <w:rFonts w:hint="eastAsia" w:eastAsia="宋体"/>
                <w:sz w:val="24"/>
                <w:szCs w:val="24"/>
                <w:lang w:val="en-US" w:eastAsia="zh-CN"/>
              </w:rPr>
            </w:pPr>
          </w:p>
          <w:p w14:paraId="1201CA65">
            <w:pPr>
              <w:jc w:val="center"/>
              <w:rPr>
                <w:rFonts w:hint="eastAsia" w:eastAsia="宋体"/>
                <w:sz w:val="24"/>
                <w:szCs w:val="24"/>
                <w:lang w:val="en-US" w:eastAsia="zh-CN"/>
              </w:rPr>
            </w:pPr>
          </w:p>
          <w:p w14:paraId="57D38B91">
            <w:pPr>
              <w:pStyle w:val="2"/>
              <w:rPr>
                <w:rFonts w:hint="eastAsia"/>
                <w:lang w:val="en-US" w:eastAsia="zh-CN"/>
              </w:rPr>
            </w:pPr>
          </w:p>
          <w:p w14:paraId="2D25A12A">
            <w:pPr>
              <w:jc w:val="center"/>
              <w:rPr>
                <w:rFonts w:hint="eastAsia" w:eastAsia="宋体"/>
                <w:sz w:val="24"/>
                <w:szCs w:val="24"/>
                <w:lang w:val="en-US" w:eastAsia="zh-CN"/>
              </w:rPr>
            </w:pPr>
          </w:p>
          <w:p w14:paraId="71A468A4">
            <w:pPr>
              <w:jc w:val="both"/>
              <w:rPr>
                <w:rFonts w:hint="eastAsia" w:ascii="Times New Roman" w:hAnsi="Times New Roman" w:cs="Times New Roman" w:eastAsiaTheme="minorEastAsia"/>
                <w:kern w:val="2"/>
                <w:sz w:val="21"/>
                <w:szCs w:val="21"/>
                <w:lang w:val="en-US" w:eastAsia="zh-CN" w:bidi="ar-SA"/>
              </w:rPr>
            </w:pPr>
            <w:r>
              <w:rPr>
                <w:rFonts w:hint="eastAsia" w:eastAsia="宋体"/>
                <w:sz w:val="24"/>
                <w:szCs w:val="24"/>
                <w:lang w:val="en-US" w:eastAsia="zh-CN"/>
              </w:rPr>
              <w:t>周口雷鸿环保科技有限公司</w:t>
            </w:r>
          </w:p>
        </w:tc>
        <w:tc>
          <w:tcPr>
            <w:tcW w:w="850" w:type="dxa"/>
            <w:shd w:val="clear" w:color="auto" w:fill="auto"/>
            <w:vAlign w:val="top"/>
          </w:tcPr>
          <w:p w14:paraId="38CE8AA0">
            <w:pPr>
              <w:jc w:val="both"/>
              <w:rPr>
                <w:rFonts w:hint="eastAsia" w:ascii="Times New Roman" w:hAnsi="Times New Roman" w:cs="Times New Roman"/>
                <w:kern w:val="2"/>
                <w:sz w:val="21"/>
                <w:szCs w:val="21"/>
                <w:lang w:val="en-US" w:eastAsia="zh-CN" w:bidi="ar-SA"/>
              </w:rPr>
            </w:pPr>
          </w:p>
          <w:p w14:paraId="45A3EAC6">
            <w:pPr>
              <w:jc w:val="both"/>
              <w:rPr>
                <w:rFonts w:hint="eastAsia" w:ascii="Times New Roman" w:hAnsi="Times New Roman" w:cs="Times New Roman"/>
                <w:kern w:val="2"/>
                <w:sz w:val="21"/>
                <w:szCs w:val="21"/>
                <w:lang w:val="en-US" w:eastAsia="zh-CN" w:bidi="ar-SA"/>
              </w:rPr>
            </w:pPr>
          </w:p>
          <w:p w14:paraId="2819B258">
            <w:pPr>
              <w:pStyle w:val="6"/>
              <w:rPr>
                <w:rFonts w:hint="eastAsia"/>
                <w:lang w:val="en-US" w:eastAsia="zh-CN"/>
              </w:rPr>
            </w:pPr>
          </w:p>
          <w:p w14:paraId="2CEF55F1">
            <w:pPr>
              <w:jc w:val="both"/>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4"/>
                <w:szCs w:val="24"/>
                <w:lang w:val="en-US" w:eastAsia="zh-CN" w:bidi="ar-SA"/>
              </w:rPr>
              <w:t>河南众本环保咨询服务有限公 司</w:t>
            </w:r>
          </w:p>
        </w:tc>
        <w:tc>
          <w:tcPr>
            <w:tcW w:w="1593" w:type="dxa"/>
            <w:shd w:val="clear" w:color="auto" w:fill="auto"/>
            <w:vAlign w:val="top"/>
          </w:tcPr>
          <w:p w14:paraId="0509E1A2">
            <w:pPr>
              <w:widowControl w:val="0"/>
              <w:snapToGrid w:val="0"/>
              <w:spacing w:line="240" w:lineRule="auto"/>
              <w:jc w:val="left"/>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建设性质为新建，租赁现有厂房进行建设，项目占地面积约1000平方米</w:t>
            </w:r>
            <w:r>
              <w:rPr>
                <w:rFonts w:hint="eastAsia" w:ascii="Times New Roman" w:hAnsi="Times New Roman" w:eastAsia="宋体" w:cs="Times New Roman"/>
                <w:color w:val="000000"/>
                <w:sz w:val="24"/>
                <w:szCs w:val="24"/>
                <w:lang w:val="en-US" w:eastAsia="zh-CN"/>
              </w:rPr>
              <w:t>，建筑面积600</w:t>
            </w:r>
            <w:r>
              <w:rPr>
                <w:rFonts w:hint="eastAsia" w:ascii="Times New Roman" w:hAnsi="Times New Roman" w:eastAsia="宋体" w:cs="Times New Roman"/>
                <w:color w:val="auto"/>
                <w:sz w:val="24"/>
                <w:szCs w:val="24"/>
                <w:lang w:val="en-US" w:eastAsia="zh-CN"/>
              </w:rPr>
              <w:t>平方米，拟投资200万元建设储存转运3000吨废机油项目，工艺技术为收集一贮存一转运。</w:t>
            </w:r>
          </w:p>
          <w:p w14:paraId="68BC5A3C">
            <w:pPr>
              <w:rPr>
                <w:rFonts w:hint="eastAsia" w:ascii="Times New Roman" w:hAnsi="Times New Roman" w:cs="Times New Roman" w:eastAsiaTheme="minorEastAsia"/>
                <w:kern w:val="2"/>
                <w:sz w:val="21"/>
                <w:szCs w:val="21"/>
                <w:lang w:val="en-US" w:eastAsia="zh-CN" w:bidi="ar-SA"/>
              </w:rPr>
            </w:pPr>
          </w:p>
        </w:tc>
        <w:tc>
          <w:tcPr>
            <w:tcW w:w="7479" w:type="dxa"/>
            <w:shd w:val="clear" w:color="auto" w:fill="auto"/>
            <w:vAlign w:val="top"/>
          </w:tcPr>
          <w:p w14:paraId="03D54166">
            <w:pPr>
              <w:widowControl w:val="0"/>
              <w:snapToGrid w:val="0"/>
              <w:spacing w:line="240" w:lineRule="auto"/>
              <w:jc w:val="left"/>
              <w:rPr>
                <w:rFonts w:hint="default" w:ascii="Times New Roman" w:hAnsi="Times New Roman" w:eastAsia="宋体" w:cs="Times New Roman"/>
                <w:color w:val="auto"/>
                <w:sz w:val="24"/>
                <w:szCs w:val="24"/>
                <w:lang w:val="zh-TW" w:eastAsia="zh-CN"/>
              </w:rPr>
            </w:pPr>
            <w:r>
              <w:rPr>
                <w:rFonts w:hint="eastAsia"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val="en-US" w:eastAsia="zh-CN"/>
              </w:rPr>
              <w:t>废气：</w:t>
            </w:r>
            <w:r>
              <w:rPr>
                <w:rFonts w:hint="eastAsia" w:ascii="Times New Roman" w:hAnsi="Times New Roman" w:eastAsia="宋体" w:cs="Times New Roman"/>
                <w:color w:val="auto"/>
                <w:sz w:val="24"/>
                <w:szCs w:val="24"/>
                <w:lang w:val="en-US" w:eastAsia="zh-CN"/>
              </w:rPr>
              <w:t>项目产生的废气为VOCS,</w:t>
            </w:r>
            <w:r>
              <w:rPr>
                <w:rFonts w:hint="default" w:ascii="Times New Roman" w:hAnsi="Times New Roman" w:eastAsia="宋体" w:cs="Times New Roman"/>
                <w:color w:val="auto"/>
                <w:sz w:val="24"/>
                <w:szCs w:val="24"/>
                <w:lang w:val="zh-TW" w:eastAsia="zh-CN"/>
              </w:rPr>
              <w:t>在储油罐呼吸阀及装卸区处设置集气罩，通过引风机将呼吸废气引入</w:t>
            </w:r>
            <w:r>
              <w:rPr>
                <w:rFonts w:hint="default" w:ascii="Times New Roman" w:hAnsi="Times New Roman" w:eastAsia="宋体" w:cs="Times New Roman"/>
                <w:color w:val="auto"/>
                <w:sz w:val="24"/>
                <w:szCs w:val="24"/>
                <w:lang w:val="en-US" w:eastAsia="zh-CN"/>
              </w:rPr>
              <w:t>二</w:t>
            </w:r>
            <w:r>
              <w:rPr>
                <w:rFonts w:hint="default" w:ascii="Times New Roman" w:hAnsi="Times New Roman" w:eastAsia="宋体" w:cs="Times New Roman"/>
                <w:color w:val="auto"/>
                <w:sz w:val="24"/>
                <w:szCs w:val="24"/>
                <w:lang w:val="zh-TW" w:eastAsia="zh-CN"/>
              </w:rPr>
              <w:t>级活性炭装置吸附处理后，通过15m高排气筒排放。</w:t>
            </w:r>
          </w:p>
          <w:p w14:paraId="1548659B">
            <w:pPr>
              <w:widowControl w:val="0"/>
              <w:snapToGrid w:val="0"/>
              <w:spacing w:line="24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2、废水：本项目无生产废水产生，废水主要为生活污水。本项目生活污</w:t>
            </w:r>
            <w:r>
              <w:rPr>
                <w:rFonts w:hint="eastAsia" w:ascii="Times New Roman" w:hAnsi="Times New Roman" w:eastAsia="宋体" w:cs="Times New Roman"/>
                <w:color w:val="auto"/>
                <w:sz w:val="24"/>
                <w:szCs w:val="24"/>
                <w:lang w:val="en-US" w:eastAsia="zh-CN"/>
              </w:rPr>
              <w:t>水</w:t>
            </w:r>
            <w:r>
              <w:rPr>
                <w:rFonts w:hint="default" w:ascii="Times New Roman" w:hAnsi="Times New Roman" w:eastAsia="宋体" w:cs="Times New Roman"/>
                <w:color w:val="auto"/>
                <w:sz w:val="24"/>
                <w:szCs w:val="24"/>
                <w:lang w:val="en-US" w:eastAsia="zh-CN"/>
              </w:rPr>
              <w:t>由现有化粪池收集处理后排入</w:t>
            </w:r>
            <w:r>
              <w:rPr>
                <w:rFonts w:hint="eastAsia" w:ascii="Times New Roman" w:hAnsi="Times New Roman" w:eastAsia="宋体" w:cs="Times New Roman"/>
                <w:color w:val="auto"/>
                <w:sz w:val="24"/>
                <w:szCs w:val="24"/>
                <w:lang w:val="en-US" w:eastAsia="zh-CN"/>
              </w:rPr>
              <w:t>太康县第二污水处理厂。</w:t>
            </w:r>
          </w:p>
          <w:p w14:paraId="66B93056">
            <w:pPr>
              <w:widowControl w:val="0"/>
              <w:snapToGrid w:val="0"/>
              <w:spacing w:line="240" w:lineRule="auto"/>
              <w:jc w:val="left"/>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3、噪声：本项目的噪声主要为风机运行过程产生的噪声，噪声值</w:t>
            </w:r>
            <w:r>
              <w:rPr>
                <w:rFonts w:hint="default" w:ascii="Times New Roman" w:hAnsi="Times New Roman" w:eastAsia="宋体" w:cs="Times New Roman"/>
                <w:color w:val="auto"/>
                <w:sz w:val="24"/>
                <w:szCs w:val="24"/>
                <w:lang w:val="en-US" w:eastAsia="zh-CN"/>
              </w:rPr>
              <w:t>70~80dB（A）左右</w:t>
            </w:r>
            <w:r>
              <w:rPr>
                <w:rFonts w:hint="eastAsia" w:ascii="Times New Roman" w:hAnsi="Times New Roman" w:eastAsia="宋体" w:cs="Times New Roman"/>
                <w:color w:val="auto"/>
                <w:sz w:val="24"/>
                <w:szCs w:val="24"/>
                <w:lang w:val="en-US" w:eastAsia="zh-CN"/>
              </w:rPr>
              <w:t>，采取基础减震、车间隔声等措施后，</w:t>
            </w:r>
            <w:r>
              <w:rPr>
                <w:rFonts w:hint="default" w:ascii="Times New Roman" w:hAnsi="Times New Roman" w:eastAsia="宋体" w:cs="Times New Roman"/>
                <w:color w:val="auto"/>
                <w:sz w:val="24"/>
                <w:szCs w:val="24"/>
                <w:lang w:val="en-US" w:eastAsia="zh-CN"/>
              </w:rPr>
              <w:t>项目营运期噪声对周围环境的影响可接受。</w:t>
            </w:r>
          </w:p>
          <w:p w14:paraId="53AD5F18">
            <w:pPr>
              <w:widowControl w:val="0"/>
              <w:snapToGrid w:val="0"/>
              <w:spacing w:line="240" w:lineRule="auto"/>
              <w:jc w:val="left"/>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4、固废：本项目运营期产生的固体废弃物包括：含油废劳保用品、清洗废油、废活性炭、生活垃圾。生活垃圾暂存于垃圾桶，后交由环卫部门处理；含油废劳保用品、清洗废油、废活性炭，密封保存，暂存危废库，后交由有资质单位处理。</w:t>
            </w:r>
          </w:p>
          <w:p w14:paraId="69F3C078">
            <w:pPr>
              <w:widowControl w:val="0"/>
              <w:snapToGrid w:val="0"/>
              <w:spacing w:line="240" w:lineRule="auto"/>
              <w:jc w:val="left"/>
              <w:rPr>
                <w:rFonts w:hint="default"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5、土壤和地下水：</w:t>
            </w:r>
            <w:r>
              <w:rPr>
                <w:rFonts w:hint="default" w:ascii="Times New Roman" w:hAnsi="Times New Roman" w:eastAsia="宋体" w:cs="Times New Roman"/>
                <w:color w:val="auto"/>
                <w:sz w:val="24"/>
                <w:szCs w:val="24"/>
                <w:lang w:val="en-US" w:eastAsia="zh-CN"/>
              </w:rPr>
              <w:t>项目厂区地面</w:t>
            </w:r>
            <w:r>
              <w:rPr>
                <w:rFonts w:hint="eastAsia" w:ascii="Times New Roman" w:hAnsi="Times New Roman" w:eastAsia="宋体" w:cs="Times New Roman"/>
                <w:color w:val="auto"/>
                <w:sz w:val="24"/>
                <w:szCs w:val="24"/>
                <w:lang w:val="en-US" w:eastAsia="zh-CN"/>
              </w:rPr>
              <w:t>进行</w:t>
            </w:r>
            <w:r>
              <w:rPr>
                <w:rFonts w:hint="default" w:ascii="Times New Roman" w:hAnsi="Times New Roman" w:eastAsia="宋体" w:cs="Times New Roman"/>
                <w:color w:val="auto"/>
                <w:sz w:val="24"/>
                <w:szCs w:val="24"/>
                <w:lang w:val="en-US" w:eastAsia="zh-CN"/>
              </w:rPr>
              <w:t>水泥硬化处理，污染物污染地下水</w:t>
            </w:r>
            <w:r>
              <w:rPr>
                <w:rFonts w:hint="eastAsia" w:ascii="Times New Roman" w:hAnsi="Times New Roman" w:eastAsia="宋体" w:cs="Times New Roman"/>
                <w:color w:val="auto"/>
                <w:sz w:val="24"/>
                <w:szCs w:val="24"/>
                <w:lang w:val="en-US" w:eastAsia="zh-CN"/>
              </w:rPr>
              <w:t>和土壤</w:t>
            </w:r>
            <w:r>
              <w:rPr>
                <w:rFonts w:hint="default" w:ascii="Times New Roman" w:hAnsi="Times New Roman" w:eastAsia="宋体" w:cs="Times New Roman"/>
                <w:color w:val="auto"/>
                <w:sz w:val="24"/>
                <w:szCs w:val="24"/>
                <w:lang w:val="en-US" w:eastAsia="zh-CN"/>
              </w:rPr>
              <w:t>的途径主要包括：</w:t>
            </w:r>
            <w:r>
              <w:rPr>
                <w:rFonts w:hint="eastAsia" w:ascii="Times New Roman" w:hAnsi="Times New Roman" w:eastAsia="宋体" w:cs="Times New Roman"/>
                <w:color w:val="auto"/>
                <w:sz w:val="24"/>
                <w:szCs w:val="24"/>
                <w:lang w:val="en-US" w:eastAsia="zh-CN"/>
              </w:rPr>
              <w:t>正常操作时的废机油滴落；</w:t>
            </w:r>
            <w:r>
              <w:rPr>
                <w:rFonts w:hint="default" w:ascii="Times New Roman" w:hAnsi="Times New Roman" w:eastAsia="宋体" w:cs="Times New Roman"/>
                <w:color w:val="auto"/>
                <w:sz w:val="24"/>
                <w:szCs w:val="24"/>
                <w:lang w:val="en-US" w:eastAsia="zh-CN"/>
              </w:rPr>
              <w:t>在</w:t>
            </w:r>
            <w:r>
              <w:rPr>
                <w:rFonts w:hint="eastAsia" w:ascii="Times New Roman" w:hAnsi="Times New Roman" w:eastAsia="宋体" w:cs="Times New Roman"/>
                <w:color w:val="auto"/>
                <w:sz w:val="24"/>
                <w:szCs w:val="24"/>
                <w:lang w:val="en-US" w:eastAsia="zh-CN"/>
              </w:rPr>
              <w:t>液态物料</w:t>
            </w:r>
            <w:r>
              <w:rPr>
                <w:rFonts w:hint="default" w:ascii="Times New Roman" w:hAnsi="Times New Roman" w:eastAsia="宋体" w:cs="Times New Roman"/>
                <w:color w:val="auto"/>
                <w:sz w:val="24"/>
                <w:szCs w:val="24"/>
                <w:lang w:val="en-US" w:eastAsia="zh-CN"/>
              </w:rPr>
              <w:t>贮存、</w:t>
            </w:r>
            <w:r>
              <w:rPr>
                <w:rFonts w:hint="eastAsia" w:ascii="Times New Roman" w:hAnsi="Times New Roman" w:eastAsia="宋体" w:cs="Times New Roman"/>
                <w:color w:val="auto"/>
                <w:sz w:val="24"/>
                <w:szCs w:val="24"/>
                <w:lang w:val="en-US" w:eastAsia="zh-CN"/>
              </w:rPr>
              <w:t>转移</w:t>
            </w:r>
            <w:r>
              <w:rPr>
                <w:rFonts w:hint="default" w:ascii="Times New Roman" w:hAnsi="Times New Roman" w:eastAsia="宋体" w:cs="Times New Roman"/>
                <w:color w:val="auto"/>
                <w:sz w:val="24"/>
                <w:szCs w:val="24"/>
                <w:lang w:val="en-US" w:eastAsia="zh-CN"/>
              </w:rPr>
              <w:t>过程中操作不当引起泄漏污染地下水</w:t>
            </w:r>
            <w:r>
              <w:rPr>
                <w:rFonts w:hint="eastAsia" w:ascii="Times New Roman" w:hAnsi="Times New Roman" w:eastAsia="宋体" w:cs="Times New Roman"/>
                <w:color w:val="auto"/>
                <w:sz w:val="24"/>
                <w:szCs w:val="24"/>
                <w:lang w:val="en-US" w:eastAsia="zh-CN"/>
              </w:rPr>
              <w:t>和土壤</w:t>
            </w:r>
            <w:r>
              <w:rPr>
                <w:rFonts w:hint="default" w:ascii="Times New Roman" w:hAnsi="Times New Roman" w:eastAsia="宋体" w:cs="Times New Roman"/>
                <w:color w:val="auto"/>
                <w:sz w:val="24"/>
                <w:szCs w:val="24"/>
                <w:lang w:val="en-US" w:eastAsia="zh-CN"/>
              </w:rPr>
              <w:t>；</w:t>
            </w:r>
            <w:r>
              <w:rPr>
                <w:rFonts w:hint="eastAsia" w:ascii="Times New Roman" w:hAnsi="Times New Roman" w:eastAsia="宋体" w:cs="Times New Roman"/>
                <w:color w:val="auto"/>
                <w:sz w:val="24"/>
                <w:szCs w:val="24"/>
                <w:lang w:val="en-US" w:eastAsia="zh-CN"/>
              </w:rPr>
              <w:t>管道</w:t>
            </w:r>
            <w:r>
              <w:rPr>
                <w:rFonts w:hint="default" w:ascii="Times New Roman" w:hAnsi="Times New Roman" w:eastAsia="宋体" w:cs="Times New Roman"/>
                <w:color w:val="auto"/>
                <w:sz w:val="24"/>
                <w:szCs w:val="24"/>
                <w:lang w:val="en-US" w:eastAsia="zh-CN"/>
              </w:rPr>
              <w:t>破损发生</w:t>
            </w:r>
            <w:r>
              <w:rPr>
                <w:rFonts w:hint="eastAsia" w:ascii="Times New Roman" w:hAnsi="Times New Roman" w:eastAsia="宋体" w:cs="Times New Roman"/>
                <w:color w:val="auto"/>
                <w:sz w:val="24"/>
                <w:szCs w:val="24"/>
                <w:lang w:val="en-US" w:eastAsia="zh-CN"/>
              </w:rPr>
              <w:t>废油</w:t>
            </w:r>
            <w:r>
              <w:rPr>
                <w:rFonts w:hint="default" w:ascii="Times New Roman" w:hAnsi="Times New Roman" w:eastAsia="宋体" w:cs="Times New Roman"/>
                <w:color w:val="auto"/>
                <w:sz w:val="24"/>
                <w:szCs w:val="24"/>
                <w:lang w:val="en-US" w:eastAsia="zh-CN"/>
              </w:rPr>
              <w:t>渗漏，</w:t>
            </w:r>
            <w:r>
              <w:rPr>
                <w:rFonts w:hint="eastAsia" w:ascii="Times New Roman" w:hAnsi="Times New Roman" w:eastAsia="宋体" w:cs="Times New Roman"/>
                <w:color w:val="auto"/>
                <w:sz w:val="24"/>
                <w:szCs w:val="24"/>
                <w:lang w:val="en-US" w:eastAsia="zh-CN"/>
              </w:rPr>
              <w:t>造成污染。</w:t>
            </w:r>
            <w:r>
              <w:rPr>
                <w:rFonts w:hint="default" w:ascii="Times New Roman" w:hAnsi="Times New Roman" w:eastAsia="宋体" w:cs="Times New Roman"/>
                <w:color w:val="auto"/>
                <w:sz w:val="24"/>
                <w:szCs w:val="24"/>
                <w:lang w:val="en-US" w:eastAsia="zh-CN"/>
              </w:rPr>
              <w:t>项目</w:t>
            </w:r>
            <w:r>
              <w:rPr>
                <w:rFonts w:hint="eastAsia" w:ascii="Times New Roman" w:hAnsi="Times New Roman" w:eastAsia="宋体" w:cs="Times New Roman"/>
                <w:color w:val="auto"/>
                <w:sz w:val="24"/>
                <w:szCs w:val="24"/>
                <w:lang w:val="en-US" w:eastAsia="zh-CN"/>
              </w:rPr>
              <w:t>仓库整体</w:t>
            </w:r>
            <w:r>
              <w:rPr>
                <w:rFonts w:hint="default" w:ascii="Times New Roman" w:hAnsi="Times New Roman" w:eastAsia="宋体" w:cs="Times New Roman"/>
                <w:color w:val="auto"/>
                <w:sz w:val="24"/>
                <w:szCs w:val="24"/>
                <w:lang w:val="en-US" w:eastAsia="zh-CN"/>
              </w:rPr>
              <w:t>做重点防渗处理</w:t>
            </w:r>
            <w:r>
              <w:rPr>
                <w:rFonts w:hint="eastAsia" w:ascii="Times New Roman" w:hAnsi="Times New Roman" w:eastAsia="宋体" w:cs="Times New Roman"/>
                <w:color w:val="auto"/>
                <w:sz w:val="24"/>
                <w:szCs w:val="24"/>
                <w:lang w:val="en-US" w:eastAsia="zh-CN"/>
              </w:rPr>
              <w:t>，</w:t>
            </w:r>
            <w:r>
              <w:rPr>
                <w:rFonts w:hint="default" w:ascii="Times New Roman" w:hAnsi="Times New Roman" w:eastAsia="宋体" w:cs="Times New Roman"/>
                <w:color w:val="auto"/>
                <w:sz w:val="24"/>
                <w:szCs w:val="24"/>
                <w:lang w:val="en-US" w:eastAsia="zh-CN"/>
              </w:rPr>
              <w:t>设置防渗混凝土+高密度聚乙烯+环氧地坪漆防渗层，防渗结构层渗透系数不应大于1.0×10-10cm/s，并采用环氧树脂防腐；或参照GB1859执行防渗措施</w:t>
            </w:r>
            <w:r>
              <w:rPr>
                <w:rFonts w:hint="eastAsia" w:ascii="Times New Roman" w:hAnsi="Times New Roman" w:eastAsia="宋体" w:cs="Times New Roman"/>
                <w:color w:val="auto"/>
                <w:sz w:val="24"/>
                <w:szCs w:val="24"/>
                <w:lang w:val="en-US" w:eastAsia="zh-CN"/>
              </w:rPr>
              <w:t>。</w:t>
            </w:r>
          </w:p>
          <w:p w14:paraId="088BA900">
            <w:pPr>
              <w:pStyle w:val="13"/>
              <w:numPr>
                <w:ilvl w:val="0"/>
                <w:numId w:val="0"/>
              </w:numPr>
              <w:rPr>
                <w:rFonts w:hint="default"/>
                <w:lang w:val="en-US" w:eastAsia="zh-CN"/>
              </w:rPr>
            </w:pPr>
          </w:p>
        </w:tc>
        <w:tc>
          <w:tcPr>
            <w:tcW w:w="883" w:type="dxa"/>
            <w:shd w:val="clear" w:color="auto" w:fill="auto"/>
            <w:vAlign w:val="top"/>
          </w:tcPr>
          <w:p w14:paraId="0C77A7E2">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18E5EA25">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 w:name="KSO_WPS_MARK_KEY" w:val="b3e391d6-47da-461a-a60a-c910eba78b2e"/>
  </w:docVars>
  <w:rsids>
    <w:rsidRoot w:val="001E5CDA"/>
    <w:rsid w:val="000254D6"/>
    <w:rsid w:val="00137019"/>
    <w:rsid w:val="001E5CDA"/>
    <w:rsid w:val="00EE20F3"/>
    <w:rsid w:val="0C771E12"/>
    <w:rsid w:val="0D79298D"/>
    <w:rsid w:val="117F61F0"/>
    <w:rsid w:val="1448433A"/>
    <w:rsid w:val="16707C20"/>
    <w:rsid w:val="1AA43EBB"/>
    <w:rsid w:val="1CAD053E"/>
    <w:rsid w:val="2473652D"/>
    <w:rsid w:val="27052EC1"/>
    <w:rsid w:val="296348D8"/>
    <w:rsid w:val="2B033176"/>
    <w:rsid w:val="2BC50FE3"/>
    <w:rsid w:val="2E00644A"/>
    <w:rsid w:val="2FA70495"/>
    <w:rsid w:val="303C36D2"/>
    <w:rsid w:val="33D8698B"/>
    <w:rsid w:val="34E97C37"/>
    <w:rsid w:val="37D5281F"/>
    <w:rsid w:val="392C4597"/>
    <w:rsid w:val="3C9B48E8"/>
    <w:rsid w:val="43BA548A"/>
    <w:rsid w:val="46F550A6"/>
    <w:rsid w:val="4BA6413B"/>
    <w:rsid w:val="4D7E008B"/>
    <w:rsid w:val="527A5F1B"/>
    <w:rsid w:val="5C5B5395"/>
    <w:rsid w:val="5CD65E0C"/>
    <w:rsid w:val="61EC0466"/>
    <w:rsid w:val="647C7E2A"/>
    <w:rsid w:val="696541D7"/>
    <w:rsid w:val="7D9853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ody Text First Indent 2"/>
    <w:basedOn w:val="1"/>
    <w:next w:val="3"/>
    <w:qFormat/>
    <w:uiPriority w:val="0"/>
    <w:pPr>
      <w:spacing w:after="120" w:afterLines="0" w:line="240" w:lineRule="auto"/>
      <w:ind w:left="420" w:leftChars="200" w:firstLine="420" w:firstLineChars="200"/>
    </w:pPr>
    <w:rPr>
      <w:spacing w:val="0"/>
      <w:sz w:val="28"/>
    </w:rPr>
  </w:style>
  <w:style w:type="paragraph" w:styleId="3">
    <w:name w:val="Body Text First Indent"/>
    <w:basedOn w:val="4"/>
    <w:next w:val="1"/>
    <w:unhideWhenUsed/>
    <w:qFormat/>
    <w:uiPriority w:val="0"/>
    <w:pPr>
      <w:ind w:firstLine="420" w:firstLineChars="100"/>
    </w:p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7">
    <w:name w:val="Normal Indent"/>
    <w:basedOn w:val="1"/>
    <w:next w:val="1"/>
    <w:qFormat/>
    <w:uiPriority w:val="0"/>
    <w:pPr>
      <w:spacing w:line="520" w:lineRule="atLeast"/>
      <w:ind w:firstLine="200"/>
    </w:pPr>
    <w:rPr>
      <w:sz w:val="28"/>
      <w:szCs w:val="21"/>
    </w:rPr>
  </w:style>
  <w:style w:type="paragraph" w:styleId="8">
    <w:name w:val="Body Text Indent"/>
    <w:basedOn w:val="1"/>
    <w:next w:val="4"/>
    <w:qFormat/>
    <w:uiPriority w:val="0"/>
    <w:pPr>
      <w:spacing w:line="360" w:lineRule="auto"/>
      <w:ind w:firstLine="465"/>
    </w:pPr>
    <w:rPr>
      <w:spacing w:val="6"/>
      <w:sz w:val="24"/>
    </w:r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3">
    <w:name w:val="Default"/>
    <w:basedOn w:val="14"/>
    <w:next w:val="2"/>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14">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15">
    <w:name w:val="00正文"/>
    <w:qFormat/>
    <w:uiPriority w:val="0"/>
    <w:pPr>
      <w:widowControl w:val="0"/>
      <w:spacing w:line="520" w:lineRule="exact"/>
      <w:ind w:firstLine="480" w:firstLineChars="200"/>
      <w:jc w:val="both"/>
    </w:pPr>
    <w:rPr>
      <w:rFonts w:ascii="Times New Roman" w:hAnsi="Times New Roman" w:eastAsia="宋体" w:cs="Times New Roman"/>
      <w:kern w:val="2"/>
      <w:sz w:val="24"/>
      <w:szCs w:val="24"/>
      <w:lang w:val="en-US" w:eastAsia="zh-CN" w:bidi="ar-SA"/>
    </w:rPr>
  </w:style>
  <w:style w:type="paragraph" w:customStyle="1" w:styleId="16">
    <w:name w:val="4表格内3级标题"/>
    <w:basedOn w:val="17"/>
    <w:next w:val="17"/>
    <w:qFormat/>
    <w:uiPriority w:val="0"/>
    <w:pPr>
      <w:ind w:firstLine="0" w:firstLineChars="0"/>
      <w:jc w:val="left"/>
    </w:pPr>
  </w:style>
  <w:style w:type="paragraph" w:customStyle="1" w:styleId="17">
    <w:name w:val="5正文"/>
    <w:qFormat/>
    <w:uiPriority w:val="0"/>
    <w:pPr>
      <w:widowControl w:val="0"/>
      <w:spacing w:line="520" w:lineRule="exact"/>
      <w:ind w:firstLine="200" w:firstLineChars="200"/>
      <w:jc w:val="both"/>
    </w:pPr>
    <w:rPr>
      <w:rFonts w:ascii="Times New Roman" w:hAnsi="Times New Roman" w:eastAsia="宋体" w:cs="Times New Roman"/>
      <w:kern w:val="2"/>
      <w:sz w:val="24"/>
      <w:szCs w:val="24"/>
      <w:lang w:val="en-US" w:eastAsia="zh-CN" w:bidi="ar-SA"/>
    </w:rPr>
  </w:style>
  <w:style w:type="paragraph" w:customStyle="1" w:styleId="18">
    <w:name w:val="A0正文"/>
    <w:basedOn w:val="1"/>
    <w:qFormat/>
    <w:uiPriority w:val="0"/>
    <w:pPr>
      <w:spacing w:line="560" w:lineRule="exact"/>
      <w:ind w:firstLine="200" w:firstLineChars="200"/>
    </w:pPr>
    <w:rPr>
      <w:rFonts w:cs="宋体"/>
      <w:sz w:val="24"/>
      <w:szCs w:val="20"/>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1115</Words>
  <Characters>1185</Characters>
  <Lines>13</Lines>
  <Paragraphs>3</Paragraphs>
  <TotalTime>4</TotalTime>
  <ScaleCrop>false</ScaleCrop>
  <LinksUpToDate>false</LinksUpToDate>
  <CharactersWithSpaces>1186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2024-10-18T08:54:47Z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94860026EB3B4334A86938CA00B9B21C_12</vt:lpwstr>
  </property>
</Properties>
</file>