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047C94">
      <w:pPr>
        <w:jc w:val="center"/>
        <w:rPr>
          <w:rFonts w:hint="eastAsia" w:ascii="黑体" w:hAnsi="黑体" w:eastAsia="黑体"/>
          <w:sz w:val="32"/>
          <w:szCs w:val="32"/>
          <w:lang w:eastAsia="zh-CN"/>
        </w:rPr>
      </w:pPr>
      <w:r>
        <w:rPr>
          <w:rFonts w:hint="eastAsia" w:ascii="黑体" w:hAnsi="黑体" w:eastAsia="黑体"/>
          <w:sz w:val="32"/>
          <w:szCs w:val="32"/>
        </w:rPr>
        <w:t>周口市生态环境局</w:t>
      </w:r>
      <w:r>
        <w:rPr>
          <w:rFonts w:hint="eastAsia" w:ascii="黑体" w:hAnsi="黑体" w:eastAsia="黑体"/>
          <w:sz w:val="32"/>
          <w:szCs w:val="32"/>
          <w:lang w:eastAsia="zh-CN"/>
        </w:rPr>
        <w:t>关于河南顺博供应链有限公司年收集与贮存10万吨废铅酸蓄电池项目</w:t>
      </w:r>
    </w:p>
    <w:p w14:paraId="1AFEE2F5">
      <w:pPr>
        <w:jc w:val="center"/>
        <w:rPr>
          <w:rFonts w:hint="eastAsia" w:ascii="黑体" w:hAnsi="黑体" w:eastAsia="黑体"/>
          <w:sz w:val="32"/>
          <w:szCs w:val="32"/>
        </w:rPr>
      </w:pPr>
      <w:r>
        <w:rPr>
          <w:rFonts w:hint="eastAsia" w:ascii="黑体" w:hAnsi="黑体" w:eastAsia="黑体"/>
          <w:sz w:val="32"/>
          <w:szCs w:val="32"/>
        </w:rPr>
        <w:t>环境影响评价文件拟审批情况的公示</w:t>
      </w:r>
    </w:p>
    <w:p w14:paraId="68CEC9C8">
      <w:pPr>
        <w:ind w:firstLine="560" w:firstLineChars="200"/>
        <w:rPr>
          <w:rFonts w:hint="eastAsia" w:ascii="Times New Roman" w:cs="Times New Roman" w:hAnsiTheme="minorEastAsia"/>
          <w:color w:val="auto"/>
          <w:sz w:val="28"/>
          <w:szCs w:val="28"/>
          <w:highlight w:val="yellow"/>
        </w:rPr>
      </w:pPr>
      <w:r>
        <w:rPr>
          <w:rFonts w:hint="eastAsia" w:ascii="Times New Roman" w:cs="Times New Roman" w:hAnsiTheme="minorEastAsia"/>
          <w:sz w:val="28"/>
          <w:szCs w:val="28"/>
        </w:rPr>
        <w:t>根据建设项目环境影响评价审批程序的有关规定，经审议，我局拟对河南顺博供应链有限公司年收集与贮存10万吨废铅酸蓄电池</w:t>
      </w:r>
      <w:r>
        <w:rPr>
          <w:rFonts w:hint="eastAsia" w:ascii="Times New Roman" w:cs="Times New Roman" w:hAnsiTheme="minorEastAsia"/>
          <w:sz w:val="28"/>
          <w:szCs w:val="28"/>
          <w:lang w:eastAsia="zh-CN"/>
        </w:rPr>
        <w:t>项目</w:t>
      </w:r>
      <w:r>
        <w:rPr>
          <w:rFonts w:hint="eastAsia" w:ascii="Times New Roman" w:cs="Times New Roman" w:hAnsiTheme="minorEastAsia"/>
          <w:sz w:val="28"/>
          <w:szCs w:val="28"/>
        </w:rPr>
        <w:t>环境影响评价文件作出拟审批意见。为保证拟审批意见的严肃性和公正性，现将建设项目环境影响评价文件的基本情况予以公示。如有异议，请在公示期内反馈我局行政审批服务科。</w:t>
      </w:r>
      <w:r>
        <w:rPr>
          <w:rFonts w:hint="eastAsia" w:ascii="Times New Roman" w:cs="Times New Roman" w:hAnsiTheme="minorEastAsia"/>
          <w:color w:val="auto"/>
          <w:sz w:val="28"/>
          <w:szCs w:val="28"/>
          <w:highlight w:val="none"/>
        </w:rPr>
        <w:t>公示期为2024年</w:t>
      </w:r>
      <w:r>
        <w:rPr>
          <w:rFonts w:hint="eastAsia" w:ascii="Times New Roman" w:cs="Times New Roman" w:hAnsiTheme="minorEastAsia"/>
          <w:color w:val="auto"/>
          <w:sz w:val="28"/>
          <w:szCs w:val="28"/>
          <w:highlight w:val="none"/>
          <w:lang w:val="en-US" w:eastAsia="zh-CN"/>
        </w:rPr>
        <w:t>10</w:t>
      </w:r>
      <w:r>
        <w:rPr>
          <w:rFonts w:hint="eastAsia" w:ascii="Times New Roman" w:cs="Times New Roman" w:hAnsiTheme="minorEastAsia"/>
          <w:color w:val="auto"/>
          <w:sz w:val="28"/>
          <w:szCs w:val="28"/>
          <w:highlight w:val="none"/>
        </w:rPr>
        <w:t>月</w:t>
      </w:r>
      <w:r>
        <w:rPr>
          <w:rFonts w:hint="eastAsia" w:ascii="Times New Roman" w:cs="Times New Roman" w:hAnsiTheme="minorEastAsia"/>
          <w:color w:val="auto"/>
          <w:sz w:val="28"/>
          <w:szCs w:val="28"/>
          <w:highlight w:val="none"/>
          <w:lang w:val="en-US" w:eastAsia="zh-CN"/>
        </w:rPr>
        <w:t>16</w:t>
      </w:r>
      <w:r>
        <w:rPr>
          <w:rFonts w:hint="eastAsia" w:ascii="Times New Roman" w:cs="Times New Roman" w:hAnsiTheme="minorEastAsia"/>
          <w:color w:val="auto"/>
          <w:sz w:val="28"/>
          <w:szCs w:val="28"/>
          <w:highlight w:val="none"/>
        </w:rPr>
        <w:t>日－2024年</w:t>
      </w:r>
      <w:r>
        <w:rPr>
          <w:rFonts w:hint="eastAsia" w:ascii="Times New Roman" w:cs="Times New Roman" w:hAnsiTheme="minorEastAsia"/>
          <w:color w:val="auto"/>
          <w:sz w:val="28"/>
          <w:szCs w:val="28"/>
          <w:highlight w:val="none"/>
          <w:lang w:val="en-US" w:eastAsia="zh-CN"/>
        </w:rPr>
        <w:t>10</w:t>
      </w:r>
      <w:r>
        <w:rPr>
          <w:rFonts w:hint="eastAsia" w:ascii="Times New Roman" w:cs="Times New Roman" w:hAnsiTheme="minorEastAsia"/>
          <w:color w:val="auto"/>
          <w:sz w:val="28"/>
          <w:szCs w:val="28"/>
          <w:highlight w:val="none"/>
        </w:rPr>
        <w:t>月</w:t>
      </w:r>
      <w:r>
        <w:rPr>
          <w:rFonts w:hint="eastAsia" w:ascii="Times New Roman" w:cs="Times New Roman" w:hAnsiTheme="minorEastAsia"/>
          <w:color w:val="auto"/>
          <w:sz w:val="28"/>
          <w:szCs w:val="28"/>
          <w:highlight w:val="none"/>
          <w:lang w:val="en-US" w:eastAsia="zh-CN"/>
        </w:rPr>
        <w:t>22</w:t>
      </w:r>
      <w:r>
        <w:rPr>
          <w:rFonts w:hint="eastAsia" w:ascii="Times New Roman" w:cs="Times New Roman" w:hAnsiTheme="minorEastAsia"/>
          <w:color w:val="auto"/>
          <w:sz w:val="28"/>
          <w:szCs w:val="28"/>
          <w:highlight w:val="none"/>
        </w:rPr>
        <w:t>日。</w:t>
      </w:r>
    </w:p>
    <w:p w14:paraId="66CB79C0">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电话（传真）：0394-8278830</w:t>
      </w:r>
    </w:p>
    <w:p w14:paraId="3A517E07">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通讯地址：周口市政务服务中心二楼北厅生态环境局窗口</w:t>
      </w:r>
    </w:p>
    <w:p w14:paraId="3CFA4468">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听证告知：依据《中华人民共和国行政许可法》，自公示起五个工作日内申请人、有重大利益关系的利害关系人可对以下拟作出的建设项目环境影响评价文件批复决定要求听证。</w:t>
      </w:r>
    </w:p>
    <w:p w14:paraId="6F5A1DEC">
      <w:pPr>
        <w:ind w:firstLine="560" w:firstLineChars="200"/>
        <w:jc w:val="center"/>
        <w:rPr>
          <w:rFonts w:hint="eastAsia" w:ascii="黑体" w:hAnsi="黑体" w:eastAsia="黑体" w:cs="Times New Roman"/>
          <w:sz w:val="28"/>
          <w:szCs w:val="28"/>
          <w:lang w:eastAsia="zh-CN"/>
        </w:rPr>
      </w:pPr>
      <w:r>
        <w:rPr>
          <w:rFonts w:hint="eastAsia" w:ascii="黑体" w:hAnsi="黑体" w:eastAsia="黑体" w:cs="Times New Roman"/>
          <w:sz w:val="28"/>
          <w:szCs w:val="28"/>
        </w:rPr>
        <w:t>受理拟审批的建设项目环境影响报告</w:t>
      </w:r>
      <w:r>
        <w:rPr>
          <w:rFonts w:hint="eastAsia" w:ascii="黑体" w:hAnsi="黑体" w:eastAsia="黑体" w:cs="Times New Roman"/>
          <w:sz w:val="28"/>
          <w:szCs w:val="28"/>
          <w:lang w:val="en-US" w:eastAsia="zh-CN"/>
        </w:rPr>
        <w:t>表</w:t>
      </w:r>
    </w:p>
    <w:tbl>
      <w:tblPr>
        <w:tblStyle w:val="8"/>
        <w:tblW w:w="14174"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426"/>
        <w:gridCol w:w="1100"/>
        <w:gridCol w:w="1134"/>
        <w:gridCol w:w="709"/>
        <w:gridCol w:w="850"/>
        <w:gridCol w:w="1593"/>
        <w:gridCol w:w="7479"/>
        <w:gridCol w:w="883"/>
      </w:tblGrid>
      <w:tr w14:paraId="52E163D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26" w:type="dxa"/>
            <w:vAlign w:val="center"/>
          </w:tcPr>
          <w:p w14:paraId="62307F90">
            <w:pPr>
              <w:jc w:val="center"/>
              <w:rPr>
                <w:rFonts w:ascii="Times New Roman" w:hAnsi="Times New Roman" w:cs="Times New Roman"/>
                <w:szCs w:val="21"/>
              </w:rPr>
            </w:pPr>
            <w:r>
              <w:rPr>
                <w:rFonts w:ascii="Times New Roman" w:cs="Times New Roman" w:hAnsiTheme="minorEastAsia"/>
                <w:szCs w:val="21"/>
              </w:rPr>
              <w:t>序号</w:t>
            </w:r>
          </w:p>
        </w:tc>
        <w:tc>
          <w:tcPr>
            <w:tcW w:w="1100" w:type="dxa"/>
            <w:vAlign w:val="center"/>
          </w:tcPr>
          <w:p w14:paraId="07579573">
            <w:pPr>
              <w:jc w:val="center"/>
              <w:rPr>
                <w:rFonts w:ascii="Times New Roman" w:hAnsi="Times New Roman" w:cs="Times New Roman"/>
                <w:szCs w:val="21"/>
              </w:rPr>
            </w:pPr>
            <w:r>
              <w:rPr>
                <w:rFonts w:ascii="Times New Roman" w:cs="Times New Roman" w:hAnsiTheme="minorEastAsia"/>
                <w:szCs w:val="21"/>
              </w:rPr>
              <w:t>项目名称</w:t>
            </w:r>
          </w:p>
        </w:tc>
        <w:tc>
          <w:tcPr>
            <w:tcW w:w="1134" w:type="dxa"/>
            <w:vAlign w:val="center"/>
          </w:tcPr>
          <w:p w14:paraId="3A3573D9">
            <w:pPr>
              <w:jc w:val="center"/>
              <w:rPr>
                <w:rFonts w:ascii="Times New Roman" w:hAnsi="Times New Roman" w:cs="Times New Roman"/>
                <w:szCs w:val="21"/>
              </w:rPr>
            </w:pPr>
            <w:r>
              <w:rPr>
                <w:rFonts w:ascii="Times New Roman" w:cs="Times New Roman" w:hAnsiTheme="minorEastAsia"/>
                <w:szCs w:val="21"/>
              </w:rPr>
              <w:t>建设地点</w:t>
            </w:r>
          </w:p>
        </w:tc>
        <w:tc>
          <w:tcPr>
            <w:tcW w:w="709" w:type="dxa"/>
            <w:vAlign w:val="center"/>
          </w:tcPr>
          <w:p w14:paraId="1A7E7A9F">
            <w:pPr>
              <w:jc w:val="center"/>
              <w:rPr>
                <w:rFonts w:ascii="Times New Roman" w:hAnsi="Times New Roman" w:cs="Times New Roman"/>
                <w:szCs w:val="21"/>
              </w:rPr>
            </w:pPr>
            <w:r>
              <w:rPr>
                <w:rFonts w:ascii="Times New Roman" w:cs="Times New Roman" w:hAnsiTheme="minorEastAsia"/>
                <w:szCs w:val="21"/>
              </w:rPr>
              <w:t>建设单位</w:t>
            </w:r>
          </w:p>
        </w:tc>
        <w:tc>
          <w:tcPr>
            <w:tcW w:w="850" w:type="dxa"/>
            <w:vAlign w:val="center"/>
          </w:tcPr>
          <w:p w14:paraId="472C680C">
            <w:pPr>
              <w:jc w:val="center"/>
              <w:rPr>
                <w:rFonts w:ascii="Times New Roman" w:hAnsi="Times New Roman" w:cs="Times New Roman"/>
                <w:szCs w:val="21"/>
              </w:rPr>
            </w:pPr>
            <w:r>
              <w:rPr>
                <w:rFonts w:ascii="Times New Roman" w:cs="Times New Roman" w:hAnsiTheme="minorEastAsia"/>
                <w:szCs w:val="21"/>
              </w:rPr>
              <w:t>环境影响评价机构</w:t>
            </w:r>
          </w:p>
        </w:tc>
        <w:tc>
          <w:tcPr>
            <w:tcW w:w="1593" w:type="dxa"/>
            <w:vAlign w:val="center"/>
          </w:tcPr>
          <w:p w14:paraId="3B30638C">
            <w:pPr>
              <w:jc w:val="center"/>
              <w:rPr>
                <w:rFonts w:ascii="Times New Roman" w:hAnsi="Times New Roman" w:cs="Times New Roman"/>
                <w:szCs w:val="21"/>
              </w:rPr>
            </w:pPr>
            <w:r>
              <w:rPr>
                <w:rFonts w:ascii="Times New Roman" w:cs="Times New Roman" w:hAnsiTheme="minorEastAsia"/>
                <w:szCs w:val="21"/>
              </w:rPr>
              <w:t>建设项目概况</w:t>
            </w:r>
          </w:p>
        </w:tc>
        <w:tc>
          <w:tcPr>
            <w:tcW w:w="7479" w:type="dxa"/>
            <w:vAlign w:val="center"/>
          </w:tcPr>
          <w:p w14:paraId="45ED47D6">
            <w:pPr>
              <w:jc w:val="center"/>
              <w:rPr>
                <w:rFonts w:ascii="Times New Roman" w:hAnsi="Times New Roman" w:cs="Times New Roman"/>
                <w:szCs w:val="21"/>
              </w:rPr>
            </w:pPr>
            <w:r>
              <w:rPr>
                <w:rFonts w:ascii="Times New Roman" w:cs="Times New Roman" w:hAnsiTheme="minorEastAsia"/>
                <w:szCs w:val="21"/>
              </w:rPr>
              <w:t>主要环境影响及预防或减轻不良环境影响的对策和措施</w:t>
            </w:r>
          </w:p>
        </w:tc>
        <w:tc>
          <w:tcPr>
            <w:tcW w:w="883" w:type="dxa"/>
            <w:vAlign w:val="center"/>
          </w:tcPr>
          <w:p w14:paraId="3012F84A">
            <w:pPr>
              <w:jc w:val="center"/>
              <w:rPr>
                <w:rFonts w:ascii="Times New Roman" w:hAnsi="Times New Roman" w:cs="Times New Roman"/>
                <w:szCs w:val="21"/>
              </w:rPr>
            </w:pPr>
            <w:r>
              <w:rPr>
                <w:rFonts w:ascii="Times New Roman" w:cs="Times New Roman" w:hAnsiTheme="minorEastAsia"/>
                <w:szCs w:val="21"/>
              </w:rPr>
              <w:t>公众参与情况</w:t>
            </w:r>
          </w:p>
        </w:tc>
      </w:tr>
      <w:tr w14:paraId="0739AF5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443" w:hRule="atLeast"/>
        </w:trPr>
        <w:tc>
          <w:tcPr>
            <w:tcW w:w="426" w:type="dxa"/>
          </w:tcPr>
          <w:p w14:paraId="182CD600">
            <w:pPr>
              <w:jc w:val="center"/>
              <w:rPr>
                <w:rFonts w:ascii="Times New Roman" w:hAnsi="Times New Roman" w:cs="Times New Roman"/>
                <w:szCs w:val="21"/>
              </w:rPr>
            </w:pPr>
            <w:r>
              <w:rPr>
                <w:rFonts w:ascii="Times New Roman" w:hAnsi="Times New Roman" w:cs="Times New Roman"/>
                <w:sz w:val="24"/>
                <w:szCs w:val="24"/>
              </w:rPr>
              <w:t>1</w:t>
            </w:r>
          </w:p>
        </w:tc>
        <w:tc>
          <w:tcPr>
            <w:tcW w:w="1100" w:type="dxa"/>
            <w:shd w:val="clear" w:color="auto" w:fill="auto"/>
            <w:vAlign w:val="top"/>
          </w:tcPr>
          <w:p w14:paraId="74CB2E84">
            <w:pPr>
              <w:jc w:val="center"/>
              <w:rPr>
                <w:rFonts w:hint="default" w:ascii="Times New Roman" w:hAnsi="Times New Roman" w:cs="Times New Roman" w:eastAsiaTheme="minorEastAsia"/>
                <w:kern w:val="2"/>
                <w:sz w:val="24"/>
                <w:szCs w:val="24"/>
                <w:lang w:val="en-US" w:eastAsia="zh-CN" w:bidi="ar-SA"/>
              </w:rPr>
            </w:pPr>
            <w:r>
              <w:rPr>
                <w:rFonts w:hint="default" w:ascii="Times New Roman" w:hAnsi="Times New Roman" w:cs="Times New Roman" w:eastAsiaTheme="minorEastAsia"/>
                <w:kern w:val="2"/>
                <w:sz w:val="24"/>
                <w:szCs w:val="24"/>
                <w:lang w:val="en-US" w:eastAsia="zh-CN" w:bidi="ar-SA"/>
              </w:rPr>
              <w:t>年收集与贮存10万吨废铅酸蓄电池项目</w:t>
            </w:r>
          </w:p>
        </w:tc>
        <w:tc>
          <w:tcPr>
            <w:tcW w:w="1134" w:type="dxa"/>
            <w:shd w:val="clear" w:color="auto" w:fill="auto"/>
            <w:vAlign w:val="top"/>
          </w:tcPr>
          <w:p w14:paraId="1465480B">
            <w:pPr>
              <w:jc w:val="center"/>
              <w:rPr>
                <w:rFonts w:hint="default" w:ascii="Times New Roman" w:hAnsi="Times New Roman" w:cs="Times New Roman" w:eastAsiaTheme="minorEastAsia"/>
                <w:kern w:val="2"/>
                <w:sz w:val="24"/>
                <w:szCs w:val="24"/>
                <w:lang w:val="en-US" w:eastAsia="zh-CN" w:bidi="ar-SA"/>
              </w:rPr>
            </w:pPr>
            <w:r>
              <w:rPr>
                <w:rFonts w:hint="default" w:ascii="Times New Roman" w:hAnsi="Times New Roman" w:cs="Times New Roman" w:eastAsiaTheme="minorEastAsia"/>
                <w:kern w:val="2"/>
                <w:sz w:val="24"/>
                <w:szCs w:val="24"/>
                <w:lang w:val="en-US" w:eastAsia="zh-CN" w:bidi="ar-SA"/>
              </w:rPr>
              <w:t>周口市商水县产业集聚区纬五路西段正恒钢构院内</w:t>
            </w:r>
          </w:p>
        </w:tc>
        <w:tc>
          <w:tcPr>
            <w:tcW w:w="709" w:type="dxa"/>
            <w:shd w:val="clear" w:color="auto" w:fill="auto"/>
            <w:vAlign w:val="top"/>
          </w:tcPr>
          <w:p w14:paraId="39F29EE9">
            <w:pPr>
              <w:jc w:val="center"/>
              <w:rPr>
                <w:rFonts w:hint="default" w:ascii="Times New Roman" w:hAnsi="Times New Roman" w:cs="Times New Roman" w:eastAsiaTheme="minorEastAsia"/>
                <w:kern w:val="2"/>
                <w:sz w:val="24"/>
                <w:szCs w:val="24"/>
                <w:lang w:val="en-US" w:eastAsia="zh-CN" w:bidi="ar-SA"/>
              </w:rPr>
            </w:pPr>
            <w:r>
              <w:rPr>
                <w:rFonts w:hint="default" w:ascii="Times New Roman" w:hAnsi="Times New Roman" w:cs="Times New Roman" w:eastAsiaTheme="minorEastAsia"/>
                <w:kern w:val="2"/>
                <w:sz w:val="24"/>
                <w:szCs w:val="24"/>
                <w:lang w:val="en-US" w:eastAsia="zh-CN" w:bidi="ar-SA"/>
              </w:rPr>
              <w:t>河南顺博供应链有限公司</w:t>
            </w:r>
          </w:p>
        </w:tc>
        <w:tc>
          <w:tcPr>
            <w:tcW w:w="850" w:type="dxa"/>
            <w:shd w:val="clear" w:color="auto" w:fill="auto"/>
            <w:vAlign w:val="top"/>
          </w:tcPr>
          <w:p w14:paraId="057D67B6">
            <w:pPr>
              <w:jc w:val="center"/>
              <w:rPr>
                <w:rFonts w:hint="default" w:ascii="Times New Roman" w:hAnsi="Times New Roman" w:cs="Times New Roman" w:eastAsiaTheme="minorEastAsia"/>
                <w:kern w:val="2"/>
                <w:sz w:val="24"/>
                <w:szCs w:val="24"/>
                <w:lang w:val="en-US" w:eastAsia="zh-CN" w:bidi="ar-SA"/>
              </w:rPr>
            </w:pPr>
            <w:r>
              <w:rPr>
                <w:rFonts w:hint="default" w:ascii="Times New Roman" w:hAnsi="Times New Roman" w:cs="Times New Roman" w:eastAsiaTheme="minorEastAsia"/>
                <w:kern w:val="2"/>
                <w:sz w:val="24"/>
                <w:szCs w:val="24"/>
                <w:lang w:val="en-US" w:eastAsia="zh-CN" w:bidi="ar-SA"/>
              </w:rPr>
              <w:t>河南绿立方环保技术咨询有限公司</w:t>
            </w:r>
          </w:p>
        </w:tc>
        <w:tc>
          <w:tcPr>
            <w:tcW w:w="1593" w:type="dxa"/>
            <w:shd w:val="clear" w:color="auto" w:fill="auto"/>
            <w:vAlign w:val="top"/>
          </w:tcPr>
          <w:p w14:paraId="1FD9FB2D">
            <w:pPr>
              <w:rPr>
                <w:rFonts w:hint="default" w:ascii="Times New Roman" w:hAnsi="Times New Roman" w:cs="Times New Roman" w:eastAsiaTheme="minorEastAsia"/>
                <w:kern w:val="2"/>
                <w:sz w:val="24"/>
                <w:szCs w:val="24"/>
                <w:lang w:val="en-US" w:eastAsia="zh-CN" w:bidi="ar-SA"/>
              </w:rPr>
            </w:pPr>
            <w:r>
              <w:rPr>
                <w:rFonts w:hint="default" w:ascii="Times New Roman" w:hAnsi="Times New Roman" w:cs="Times New Roman"/>
                <w:b w:val="0"/>
                <w:bCs w:val="0"/>
                <w:sz w:val="24"/>
                <w:szCs w:val="24"/>
                <w:u w:val="none"/>
                <w:lang w:val="en-US" w:eastAsia="zh-CN"/>
              </w:rPr>
              <w:t>项目</w:t>
            </w:r>
            <w:r>
              <w:rPr>
                <w:rFonts w:hint="default" w:ascii="Times New Roman" w:hAnsi="Times New Roman" w:cs="Times New Roman"/>
                <w:b w:val="0"/>
                <w:bCs w:val="0"/>
                <w:sz w:val="24"/>
                <w:szCs w:val="24"/>
                <w:u w:val="none"/>
              </w:rPr>
              <w:t>占地面积</w:t>
            </w:r>
            <w:r>
              <w:rPr>
                <w:rFonts w:hint="default" w:ascii="Times New Roman" w:hAnsi="Times New Roman" w:cs="Times New Roman"/>
                <w:b w:val="0"/>
                <w:bCs w:val="0"/>
                <w:sz w:val="24"/>
                <w:szCs w:val="24"/>
                <w:u w:val="none"/>
                <w:lang w:val="en-US" w:eastAsia="zh-CN"/>
              </w:rPr>
              <w:t>900</w:t>
            </w:r>
            <w:r>
              <w:rPr>
                <w:rFonts w:hint="default" w:ascii="Times New Roman" w:hAnsi="Times New Roman" w:cs="Times New Roman"/>
                <w:b w:val="0"/>
                <w:bCs w:val="0"/>
                <w:sz w:val="24"/>
                <w:szCs w:val="24"/>
                <w:u w:val="none"/>
              </w:rPr>
              <w:t>m</w:t>
            </w:r>
            <w:r>
              <w:rPr>
                <w:rFonts w:hint="default" w:ascii="Times New Roman" w:hAnsi="Times New Roman" w:cs="Times New Roman"/>
                <w:b w:val="0"/>
                <w:bCs w:val="0"/>
                <w:sz w:val="24"/>
                <w:szCs w:val="24"/>
                <w:u w:val="none"/>
                <w:vertAlign w:val="superscript"/>
              </w:rPr>
              <w:t>2</w:t>
            </w:r>
            <w:r>
              <w:rPr>
                <w:rFonts w:hint="default" w:ascii="Times New Roman" w:hAnsi="Times New Roman" w:cs="Times New Roman"/>
                <w:b w:val="0"/>
                <w:bCs w:val="0"/>
                <w:sz w:val="24"/>
                <w:szCs w:val="24"/>
                <w:u w:val="none"/>
              </w:rPr>
              <w:t>，</w:t>
            </w:r>
            <w:r>
              <w:rPr>
                <w:rFonts w:hint="default" w:ascii="Times New Roman" w:hAnsi="Times New Roman" w:cs="Times New Roman"/>
                <w:b w:val="0"/>
                <w:bCs w:val="0"/>
                <w:sz w:val="24"/>
                <w:szCs w:val="24"/>
                <w:u w:val="none"/>
                <w:lang w:val="en-US" w:eastAsia="zh-CN"/>
              </w:rPr>
              <w:t>设置</w:t>
            </w:r>
            <w:r>
              <w:rPr>
                <w:rFonts w:hint="default" w:ascii="Times New Roman" w:hAnsi="Times New Roman" w:cs="Times New Roman"/>
                <w:b w:val="0"/>
                <w:bCs w:val="0"/>
                <w:sz w:val="24"/>
                <w:szCs w:val="24"/>
                <w:u w:val="none"/>
              </w:rPr>
              <w:t>装卸区</w:t>
            </w:r>
            <w:r>
              <w:rPr>
                <w:rFonts w:hint="default" w:ascii="Times New Roman" w:hAnsi="Times New Roman" w:cs="Times New Roman"/>
                <w:b w:val="0"/>
                <w:bCs w:val="0"/>
                <w:sz w:val="24"/>
                <w:szCs w:val="24"/>
                <w:u w:val="none"/>
                <w:lang w:eastAsia="zh-CN"/>
              </w:rPr>
              <w:t>、</w:t>
            </w:r>
            <w:r>
              <w:rPr>
                <w:rFonts w:hint="default" w:ascii="Times New Roman" w:hAnsi="Times New Roman" w:cs="Times New Roman"/>
                <w:b w:val="0"/>
                <w:bCs w:val="0"/>
                <w:sz w:val="24"/>
                <w:szCs w:val="24"/>
                <w:u w:val="none"/>
              </w:rPr>
              <w:t>完好电池储存区</w:t>
            </w:r>
            <w:r>
              <w:rPr>
                <w:rFonts w:hint="default" w:ascii="Times New Roman" w:hAnsi="Times New Roman" w:cs="Times New Roman"/>
                <w:b w:val="0"/>
                <w:bCs w:val="0"/>
                <w:sz w:val="24"/>
                <w:szCs w:val="24"/>
                <w:u w:val="none"/>
                <w:lang w:val="en-US" w:eastAsia="zh-CN"/>
              </w:rPr>
              <w:t>、</w:t>
            </w:r>
            <w:r>
              <w:rPr>
                <w:rFonts w:hint="default" w:ascii="Times New Roman" w:hAnsi="Times New Roman" w:cs="Times New Roman"/>
                <w:b w:val="0"/>
                <w:bCs w:val="0"/>
                <w:sz w:val="24"/>
                <w:szCs w:val="24"/>
                <w:u w:val="none"/>
              </w:rPr>
              <w:t>破损电池贮存区</w:t>
            </w:r>
            <w:r>
              <w:rPr>
                <w:rFonts w:hint="default" w:ascii="Times New Roman" w:hAnsi="Times New Roman" w:cs="Times New Roman"/>
                <w:b w:val="0"/>
                <w:bCs w:val="0"/>
                <w:sz w:val="24"/>
                <w:szCs w:val="24"/>
                <w:u w:val="none"/>
                <w:lang w:val="en-US" w:eastAsia="zh-CN"/>
              </w:rPr>
              <w:t>及</w:t>
            </w:r>
            <w:r>
              <w:rPr>
                <w:rFonts w:hint="default" w:ascii="Times New Roman" w:hAnsi="Times New Roman" w:cs="Times New Roman"/>
                <w:b w:val="0"/>
                <w:bCs w:val="0"/>
                <w:sz w:val="24"/>
                <w:szCs w:val="24"/>
                <w:u w:val="none"/>
                <w:vertAlign w:val="baseline"/>
                <w:lang w:val="en-US" w:eastAsia="zh-CN"/>
              </w:rPr>
              <w:t>车间内通道等区域</w:t>
            </w:r>
            <w:r>
              <w:rPr>
                <w:rFonts w:hint="default" w:ascii="Times New Roman" w:hAnsi="Times New Roman" w:cs="Times New Roman"/>
                <w:b w:val="0"/>
                <w:bCs w:val="0"/>
                <w:sz w:val="24"/>
                <w:szCs w:val="24"/>
                <w:u w:val="none"/>
              </w:rPr>
              <w:t>。</w:t>
            </w:r>
            <w:r>
              <w:rPr>
                <w:rFonts w:hint="default" w:ascii="Times New Roman" w:hAnsi="Times New Roman" w:cs="Times New Roman"/>
                <w:b w:val="0"/>
                <w:bCs w:val="0"/>
                <w:sz w:val="24"/>
                <w:szCs w:val="24"/>
                <w:u w:val="none"/>
                <w:lang w:val="en-US" w:eastAsia="zh-CN"/>
              </w:rPr>
              <w:t>车间内地面均设置</w:t>
            </w:r>
            <w:r>
              <w:rPr>
                <w:rFonts w:hint="default" w:ascii="Times New Roman" w:hAnsi="Times New Roman" w:cs="Times New Roman"/>
                <w:b w:val="0"/>
                <w:bCs w:val="0"/>
                <w:sz w:val="24"/>
                <w:szCs w:val="24"/>
                <w:u w:val="none"/>
              </w:rPr>
              <w:t>环氧树脂漆防渗</w:t>
            </w:r>
            <w:r>
              <w:rPr>
                <w:rFonts w:hint="default" w:ascii="Times New Roman" w:hAnsi="Times New Roman" w:cs="Times New Roman"/>
                <w:b w:val="0"/>
                <w:bCs w:val="0"/>
                <w:sz w:val="24"/>
                <w:szCs w:val="24"/>
                <w:u w:val="none"/>
                <w:lang w:val="en-US" w:eastAsia="zh-CN"/>
              </w:rPr>
              <w:t>层</w:t>
            </w:r>
            <w:r>
              <w:rPr>
                <w:rFonts w:hint="default" w:ascii="Times New Roman" w:hAnsi="Times New Roman" w:cs="Times New Roman"/>
                <w:b w:val="0"/>
                <w:bCs w:val="0"/>
                <w:sz w:val="24"/>
                <w:szCs w:val="24"/>
                <w:u w:val="none"/>
              </w:rPr>
              <w:t>，确保防渗结构层渗透系数≤10</w:t>
            </w:r>
            <w:r>
              <w:rPr>
                <w:rFonts w:hint="default" w:ascii="Times New Roman" w:hAnsi="Times New Roman" w:cs="Times New Roman"/>
                <w:b w:val="0"/>
                <w:bCs w:val="0"/>
                <w:sz w:val="24"/>
                <w:szCs w:val="24"/>
                <w:u w:val="none"/>
                <w:vertAlign w:val="superscript"/>
              </w:rPr>
              <w:t>-10</w:t>
            </w:r>
            <w:r>
              <w:rPr>
                <w:rFonts w:hint="default" w:ascii="Times New Roman" w:hAnsi="Times New Roman" w:cs="Times New Roman"/>
                <w:b w:val="0"/>
                <w:bCs w:val="0"/>
                <w:sz w:val="24"/>
                <w:szCs w:val="24"/>
                <w:u w:val="none"/>
              </w:rPr>
              <w:t>cm/s。</w:t>
            </w:r>
          </w:p>
        </w:tc>
        <w:tc>
          <w:tcPr>
            <w:tcW w:w="7479" w:type="dxa"/>
            <w:shd w:val="clear" w:color="auto" w:fill="auto"/>
            <w:vAlign w:val="top"/>
          </w:tcPr>
          <w:p w14:paraId="76DC4664">
            <w:pPr>
              <w:keepNext w:val="0"/>
              <w:keepLines w:val="0"/>
              <w:pageBreakBefore w:val="0"/>
              <w:widowControl w:val="0"/>
              <w:numPr>
                <w:ilvl w:val="0"/>
                <w:numId w:val="2"/>
              </w:numPr>
              <w:kinsoku/>
              <w:wordWrap/>
              <w:overflowPunct/>
              <w:topLinePunct w:val="0"/>
              <w:autoSpaceDE/>
              <w:autoSpaceDN/>
              <w:bidi w:val="0"/>
              <w:adjustRightInd/>
              <w:snapToGrid/>
              <w:spacing w:line="240" w:lineRule="auto"/>
              <w:ind w:right="0" w:rightChars="0"/>
              <w:jc w:val="both"/>
              <w:textAlignment w:val="auto"/>
              <w:outlineLvl w:val="9"/>
              <w:rPr>
                <w:rFonts w:hint="default" w:ascii="Times New Roman" w:hAnsi="Times New Roman" w:cs="Times New Roman"/>
                <w:color w:val="000000"/>
                <w:sz w:val="24"/>
                <w:szCs w:val="24"/>
                <w:lang w:eastAsia="zh-CN"/>
              </w:rPr>
            </w:pPr>
            <w:r>
              <w:rPr>
                <w:rFonts w:hint="default" w:ascii="Times New Roman" w:hAnsi="Times New Roman" w:cs="Times New Roman"/>
                <w:kern w:val="2"/>
                <w:sz w:val="24"/>
                <w:szCs w:val="24"/>
                <w:lang w:val="en-US" w:eastAsia="zh-CN" w:bidi="ar-SA"/>
              </w:rPr>
              <w:t>废气：</w:t>
            </w:r>
            <w:r>
              <w:rPr>
                <w:rFonts w:hint="eastAsia" w:ascii="Times New Roman" w:hAnsi="Times New Roman" w:cs="Times New Roman"/>
                <w:kern w:val="2"/>
                <w:sz w:val="24"/>
                <w:szCs w:val="24"/>
                <w:lang w:val="en-US" w:eastAsia="zh-CN" w:bidi="ar-SA"/>
              </w:rPr>
              <w:t>破损电池储存区</w:t>
            </w:r>
            <w:r>
              <w:rPr>
                <w:rFonts w:hint="default" w:ascii="Times New Roman" w:hAnsi="Times New Roman" w:cs="Times New Roman"/>
                <w:kern w:val="2"/>
                <w:sz w:val="24"/>
                <w:szCs w:val="24"/>
                <w:lang w:val="en-US" w:eastAsia="zh-CN" w:bidi="ar-SA"/>
              </w:rPr>
              <w:t>封闭，</w:t>
            </w:r>
            <w:r>
              <w:rPr>
                <w:rFonts w:hint="eastAsia" w:ascii="Times New Roman" w:hAnsi="Times New Roman" w:cs="Times New Roman"/>
                <w:kern w:val="2"/>
                <w:sz w:val="24"/>
                <w:szCs w:val="24"/>
                <w:lang w:val="en-US" w:eastAsia="zh-CN" w:bidi="ar-SA"/>
              </w:rPr>
              <w:t>硫酸雾</w:t>
            </w:r>
            <w:r>
              <w:rPr>
                <w:rFonts w:hint="default" w:ascii="Times New Roman" w:hAnsi="Times New Roman" w:cs="Times New Roman"/>
                <w:kern w:val="2"/>
                <w:sz w:val="24"/>
                <w:szCs w:val="24"/>
                <w:lang w:val="en-US" w:eastAsia="zh-CN" w:bidi="ar-SA"/>
              </w:rPr>
              <w:t>负压收集</w:t>
            </w:r>
            <w:r>
              <w:rPr>
                <w:rFonts w:hint="eastAsia" w:ascii="Times New Roman" w:hAnsi="Times New Roman" w:cs="Times New Roman"/>
                <w:kern w:val="2"/>
                <w:sz w:val="24"/>
                <w:szCs w:val="24"/>
                <w:lang w:val="en-US" w:eastAsia="zh-CN" w:bidi="ar-SA"/>
              </w:rPr>
              <w:t>后经</w:t>
            </w:r>
            <w:r>
              <w:rPr>
                <w:rFonts w:hint="default" w:ascii="Times New Roman" w:hAnsi="Times New Roman" w:cs="Times New Roman"/>
                <w:kern w:val="2"/>
                <w:sz w:val="24"/>
                <w:szCs w:val="24"/>
                <w:lang w:val="en-US" w:eastAsia="zh-CN" w:bidi="ar-SA"/>
              </w:rPr>
              <w:t>1套碱液喷淋塔</w:t>
            </w:r>
            <w:r>
              <w:rPr>
                <w:rFonts w:hint="eastAsia" w:ascii="Times New Roman" w:hAnsi="Times New Roman" w:cs="Times New Roman"/>
                <w:kern w:val="2"/>
                <w:sz w:val="24"/>
                <w:szCs w:val="24"/>
                <w:lang w:val="en-US" w:eastAsia="zh-CN" w:bidi="ar-SA"/>
              </w:rPr>
              <w:t>处理，尾气通过</w:t>
            </w:r>
            <w:r>
              <w:rPr>
                <w:rFonts w:hint="default" w:ascii="Times New Roman" w:hAnsi="Times New Roman" w:cs="Times New Roman"/>
                <w:kern w:val="2"/>
                <w:sz w:val="24"/>
                <w:szCs w:val="24"/>
                <w:lang w:val="en-US" w:eastAsia="zh-CN" w:bidi="ar-SA"/>
              </w:rPr>
              <w:t>1根15m高排气筒</w:t>
            </w:r>
            <w:r>
              <w:rPr>
                <w:rFonts w:hint="eastAsia" w:ascii="Times New Roman" w:hAnsi="Times New Roman" w:cs="Times New Roman"/>
                <w:kern w:val="2"/>
                <w:sz w:val="24"/>
                <w:szCs w:val="24"/>
                <w:lang w:val="en-US" w:eastAsia="zh-CN" w:bidi="ar-SA"/>
              </w:rPr>
              <w:t>排放</w:t>
            </w:r>
            <w:r>
              <w:rPr>
                <w:rFonts w:hint="default" w:ascii="Times New Roman" w:hAnsi="Times New Roman" w:cs="Times New Roman"/>
                <w:color w:val="000000"/>
                <w:sz w:val="24"/>
                <w:szCs w:val="24"/>
                <w:lang w:eastAsia="zh-CN"/>
              </w:rPr>
              <w:t>。</w:t>
            </w:r>
          </w:p>
          <w:p w14:paraId="415311D6">
            <w:pPr>
              <w:keepNext w:val="0"/>
              <w:keepLines w:val="0"/>
              <w:pageBreakBefore w:val="0"/>
              <w:widowControl w:val="0"/>
              <w:numPr>
                <w:ilvl w:val="0"/>
                <w:numId w:val="2"/>
              </w:numPr>
              <w:kinsoku/>
              <w:wordWrap/>
              <w:overflowPunct/>
              <w:topLinePunct w:val="0"/>
              <w:autoSpaceDE/>
              <w:autoSpaceDN/>
              <w:bidi w:val="0"/>
              <w:adjustRightInd/>
              <w:snapToGrid/>
              <w:spacing w:line="240" w:lineRule="auto"/>
              <w:ind w:right="0" w:rightChars="0"/>
              <w:jc w:val="both"/>
              <w:textAlignment w:val="auto"/>
              <w:outlineLvl w:val="9"/>
              <w:rPr>
                <w:rFonts w:hint="default" w:ascii="Times New Roman" w:hAnsi="Times New Roman" w:cs="Times New Roman" w:eastAsiaTheme="minorEastAsia"/>
                <w:kern w:val="2"/>
                <w:sz w:val="24"/>
                <w:szCs w:val="24"/>
                <w:lang w:val="en-US" w:eastAsia="zh-CN" w:bidi="ar-SA"/>
              </w:rPr>
            </w:pPr>
            <w:r>
              <w:rPr>
                <w:rFonts w:hint="default" w:ascii="Times New Roman" w:hAnsi="Times New Roman" w:cs="Times New Roman"/>
                <w:color w:val="000000"/>
                <w:sz w:val="24"/>
                <w:szCs w:val="24"/>
                <w:lang w:val="en-US" w:eastAsia="zh-CN"/>
              </w:rPr>
              <w:t>废水：项目不新增生活污水及车间拖洗废水产生量，现有工程</w:t>
            </w:r>
            <w:r>
              <w:rPr>
                <w:rFonts w:hint="default" w:ascii="Times New Roman" w:hAnsi="Times New Roman" w:cs="Times New Roman"/>
                <w:color w:val="000000"/>
                <w:sz w:val="24"/>
                <w:szCs w:val="24"/>
              </w:rPr>
              <w:t>生活污水经化粪池处理</w:t>
            </w:r>
            <w:bookmarkStart w:id="0" w:name="_GoBack"/>
            <w:bookmarkEnd w:id="0"/>
            <w:r>
              <w:rPr>
                <w:rFonts w:hint="default" w:ascii="Times New Roman" w:hAnsi="Times New Roman" w:cs="Times New Roman"/>
                <w:color w:val="000000"/>
                <w:sz w:val="24"/>
                <w:szCs w:val="24"/>
              </w:rPr>
              <w:t>后排入市政污水管网，进入</w:t>
            </w:r>
            <w:r>
              <w:rPr>
                <w:rFonts w:hint="default" w:ascii="Times New Roman" w:hAnsi="Times New Roman" w:cs="Times New Roman"/>
                <w:color w:val="000000"/>
                <w:sz w:val="24"/>
                <w:szCs w:val="24"/>
                <w:lang w:eastAsia="zh-CN"/>
              </w:rPr>
              <w:t>商水县污水处理厂</w:t>
            </w:r>
            <w:r>
              <w:rPr>
                <w:rFonts w:hint="default" w:ascii="Times New Roman" w:hAnsi="Times New Roman" w:cs="Times New Roman"/>
                <w:color w:val="000000"/>
                <w:sz w:val="24"/>
                <w:szCs w:val="24"/>
                <w:lang w:val="en-US" w:eastAsia="zh-CN"/>
              </w:rPr>
              <w:t>进一步</w:t>
            </w:r>
            <w:r>
              <w:rPr>
                <w:rFonts w:hint="default" w:ascii="Times New Roman" w:hAnsi="Times New Roman" w:cs="Times New Roman"/>
                <w:color w:val="000000"/>
                <w:sz w:val="24"/>
                <w:szCs w:val="24"/>
              </w:rPr>
              <w:t>处理</w:t>
            </w:r>
            <w:r>
              <w:rPr>
                <w:rFonts w:hint="default" w:ascii="Times New Roman" w:hAnsi="Times New Roman" w:cs="Times New Roman"/>
                <w:color w:val="000000"/>
                <w:sz w:val="24"/>
                <w:szCs w:val="24"/>
                <w:lang w:eastAsia="zh-CN"/>
              </w:rPr>
              <w:t>，</w:t>
            </w:r>
            <w:r>
              <w:rPr>
                <w:rFonts w:hint="default" w:ascii="Times New Roman" w:hAnsi="Times New Roman" w:cs="Times New Roman"/>
                <w:color w:val="000000"/>
                <w:sz w:val="24"/>
                <w:szCs w:val="24"/>
                <w:lang w:val="en-US" w:eastAsia="zh-CN"/>
              </w:rPr>
              <w:t>车间拖洗废水收集后暂存于危废暂存间，定期交有资质单位处置；项目新增碱喷淋</w:t>
            </w:r>
            <w:r>
              <w:rPr>
                <w:rFonts w:hint="default" w:ascii="Times New Roman" w:hAnsi="Times New Roman" w:cs="Times New Roman"/>
                <w:color w:val="000000"/>
                <w:sz w:val="24"/>
                <w:szCs w:val="24"/>
              </w:rPr>
              <w:t>废液</w:t>
            </w:r>
            <w:r>
              <w:rPr>
                <w:rFonts w:hint="default" w:ascii="Times New Roman" w:hAnsi="Times New Roman" w:cs="Times New Roman"/>
                <w:color w:val="000000"/>
                <w:sz w:val="24"/>
                <w:szCs w:val="24"/>
                <w:lang w:val="en-US" w:eastAsia="zh-CN"/>
              </w:rPr>
              <w:t>与现有工程碱喷淋废液一起收集后暂存于危废暂存间，定期</w:t>
            </w:r>
            <w:r>
              <w:rPr>
                <w:rFonts w:hint="default" w:ascii="Times New Roman" w:hAnsi="Times New Roman" w:cs="Times New Roman"/>
                <w:color w:val="000000"/>
                <w:sz w:val="24"/>
                <w:szCs w:val="24"/>
              </w:rPr>
              <w:t>交有资质单位</w:t>
            </w:r>
            <w:r>
              <w:rPr>
                <w:rFonts w:hint="default" w:ascii="Times New Roman" w:hAnsi="Times New Roman" w:cs="Times New Roman"/>
                <w:color w:val="000000"/>
                <w:sz w:val="24"/>
                <w:szCs w:val="24"/>
                <w:lang w:val="en-US" w:eastAsia="zh-CN"/>
              </w:rPr>
              <w:t>处置</w:t>
            </w:r>
            <w:r>
              <w:rPr>
                <w:rFonts w:hint="default" w:ascii="Times New Roman" w:hAnsi="Times New Roman" w:cs="Times New Roman"/>
                <w:color w:val="000000"/>
                <w:sz w:val="24"/>
                <w:szCs w:val="24"/>
              </w:rPr>
              <w:t>。</w:t>
            </w:r>
          </w:p>
          <w:p w14:paraId="40D891C0">
            <w:pPr>
              <w:keepNext w:val="0"/>
              <w:keepLines w:val="0"/>
              <w:pageBreakBefore w:val="0"/>
              <w:widowControl w:val="0"/>
              <w:numPr>
                <w:ilvl w:val="0"/>
                <w:numId w:val="2"/>
              </w:numPr>
              <w:kinsoku/>
              <w:wordWrap/>
              <w:overflowPunct/>
              <w:topLinePunct w:val="0"/>
              <w:autoSpaceDE/>
              <w:autoSpaceDN/>
              <w:bidi w:val="0"/>
              <w:adjustRightInd/>
              <w:snapToGrid/>
              <w:spacing w:line="240" w:lineRule="auto"/>
              <w:ind w:right="0" w:rightChars="0"/>
              <w:jc w:val="both"/>
              <w:textAlignment w:val="auto"/>
              <w:outlineLvl w:val="9"/>
              <w:rPr>
                <w:rFonts w:hint="default" w:ascii="Times New Roman" w:hAnsi="Times New Roman" w:cs="Times New Roman" w:eastAsiaTheme="minorEastAsia"/>
                <w:kern w:val="2"/>
                <w:sz w:val="24"/>
                <w:szCs w:val="24"/>
                <w:lang w:val="en-US" w:eastAsia="zh-CN" w:bidi="ar-SA"/>
              </w:rPr>
            </w:pPr>
            <w:r>
              <w:rPr>
                <w:rFonts w:hint="default" w:ascii="Times New Roman" w:hAnsi="Times New Roman" w:cs="Times New Roman"/>
                <w:color w:val="000000"/>
                <w:sz w:val="24"/>
                <w:szCs w:val="24"/>
                <w:lang w:val="en-US" w:eastAsia="zh-CN"/>
              </w:rPr>
              <w:t>噪声：项目高噪声设备</w:t>
            </w:r>
            <w:r>
              <w:rPr>
                <w:rFonts w:hint="default" w:ascii="Times New Roman" w:hAnsi="Times New Roman" w:eastAsia="宋体" w:cs="Times New Roman"/>
                <w:color w:val="000000"/>
                <w:spacing w:val="-6"/>
                <w:sz w:val="24"/>
                <w:szCs w:val="24"/>
                <w:lang w:val="en-US" w:eastAsia="zh-CN"/>
              </w:rPr>
              <w:t>采取</w:t>
            </w:r>
            <w:r>
              <w:rPr>
                <w:rFonts w:hint="default" w:ascii="Times New Roman" w:hAnsi="Times New Roman" w:eastAsia="宋体" w:cs="Times New Roman"/>
                <w:color w:val="000000"/>
                <w:spacing w:val="-6"/>
                <w:sz w:val="24"/>
                <w:szCs w:val="24"/>
              </w:rPr>
              <w:t>设置减震基座</w:t>
            </w:r>
            <w:r>
              <w:rPr>
                <w:rFonts w:hint="default" w:ascii="Times New Roman" w:hAnsi="Times New Roman" w:eastAsia="宋体" w:cs="Times New Roman"/>
                <w:color w:val="000000"/>
                <w:spacing w:val="-6"/>
                <w:sz w:val="24"/>
                <w:szCs w:val="24"/>
                <w:lang w:eastAsia="zh-CN"/>
              </w:rPr>
              <w:t>、</w:t>
            </w:r>
            <w:r>
              <w:rPr>
                <w:rFonts w:hint="default" w:ascii="Times New Roman" w:hAnsi="Times New Roman" w:cs="Times New Roman"/>
                <w:spacing w:val="-6"/>
                <w:sz w:val="24"/>
                <w:szCs w:val="24"/>
              </w:rPr>
              <w:t>传动润滑、</w:t>
            </w:r>
            <w:r>
              <w:rPr>
                <w:rFonts w:hint="default" w:ascii="Times New Roman" w:hAnsi="Times New Roman" w:cs="Times New Roman"/>
                <w:spacing w:val="-6"/>
                <w:sz w:val="24"/>
                <w:szCs w:val="24"/>
                <w:lang w:val="en-US" w:eastAsia="zh-CN"/>
              </w:rPr>
              <w:t>厂房</w:t>
            </w:r>
            <w:r>
              <w:rPr>
                <w:rFonts w:hint="default" w:ascii="Times New Roman" w:hAnsi="Times New Roman" w:cs="Times New Roman"/>
                <w:spacing w:val="-6"/>
                <w:sz w:val="24"/>
                <w:szCs w:val="24"/>
              </w:rPr>
              <w:t>隔声</w:t>
            </w:r>
            <w:r>
              <w:rPr>
                <w:rFonts w:hint="default" w:ascii="Times New Roman" w:hAnsi="Times New Roman" w:cs="Times New Roman"/>
                <w:spacing w:val="-6"/>
                <w:sz w:val="24"/>
                <w:szCs w:val="24"/>
                <w:lang w:eastAsia="zh-CN"/>
              </w:rPr>
              <w:t>、</w:t>
            </w:r>
            <w:r>
              <w:rPr>
                <w:rFonts w:hint="default" w:ascii="Times New Roman" w:hAnsi="Times New Roman" w:eastAsia="宋体" w:cs="Times New Roman"/>
                <w:color w:val="000000"/>
                <w:spacing w:val="-6"/>
                <w:sz w:val="24"/>
                <w:szCs w:val="24"/>
              </w:rPr>
              <w:t>并加强管理</w:t>
            </w:r>
            <w:r>
              <w:rPr>
                <w:rFonts w:hint="default" w:ascii="Times New Roman" w:hAnsi="Times New Roman" w:cs="Times New Roman"/>
                <w:spacing w:val="-6"/>
                <w:sz w:val="24"/>
                <w:szCs w:val="24"/>
              </w:rPr>
              <w:t>等降噪措施</w:t>
            </w:r>
            <w:r>
              <w:rPr>
                <w:rFonts w:hint="default" w:ascii="Times New Roman" w:hAnsi="Times New Roman" w:cs="Times New Roman"/>
                <w:spacing w:val="-6"/>
                <w:sz w:val="24"/>
                <w:szCs w:val="24"/>
                <w:lang w:eastAsia="zh-CN"/>
              </w:rPr>
              <w:t>。</w:t>
            </w:r>
          </w:p>
          <w:p w14:paraId="1F469FE0">
            <w:pPr>
              <w:keepNext w:val="0"/>
              <w:keepLines w:val="0"/>
              <w:pageBreakBefore w:val="0"/>
              <w:widowControl w:val="0"/>
              <w:numPr>
                <w:ilvl w:val="0"/>
                <w:numId w:val="2"/>
              </w:numPr>
              <w:kinsoku/>
              <w:wordWrap/>
              <w:overflowPunct/>
              <w:topLinePunct w:val="0"/>
              <w:autoSpaceDE/>
              <w:autoSpaceDN/>
              <w:bidi w:val="0"/>
              <w:adjustRightInd/>
              <w:snapToGrid/>
              <w:spacing w:line="240" w:lineRule="auto"/>
              <w:ind w:right="0" w:rightChars="0"/>
              <w:jc w:val="both"/>
              <w:textAlignment w:val="auto"/>
              <w:outlineLvl w:val="9"/>
              <w:rPr>
                <w:rFonts w:hint="default" w:ascii="Times New Roman" w:hAnsi="Times New Roman" w:cs="Times New Roman" w:eastAsiaTheme="minorEastAsia"/>
                <w:kern w:val="2"/>
                <w:sz w:val="24"/>
                <w:szCs w:val="24"/>
                <w:lang w:val="en-US" w:eastAsia="zh-CN" w:bidi="ar-SA"/>
              </w:rPr>
            </w:pPr>
            <w:r>
              <w:rPr>
                <w:rFonts w:hint="default" w:ascii="Times New Roman" w:hAnsi="Times New Roman" w:cs="Times New Roman"/>
                <w:spacing w:val="-6"/>
                <w:sz w:val="24"/>
                <w:szCs w:val="24"/>
                <w:lang w:val="en-US" w:eastAsia="zh-CN"/>
              </w:rPr>
              <w:t>固废：项目产生的</w:t>
            </w:r>
            <w:r>
              <w:rPr>
                <w:rFonts w:hint="default" w:ascii="Times New Roman" w:hAnsi="Times New Roman" w:cs="Times New Roman"/>
                <w:color w:val="auto"/>
                <w:sz w:val="24"/>
                <w:szCs w:val="24"/>
              </w:rPr>
              <w:t>废电解液</w:t>
            </w:r>
            <w:r>
              <w:rPr>
                <w:rFonts w:hint="default" w:ascii="Times New Roman" w:hAnsi="Times New Roman" w:cs="Times New Roman"/>
                <w:color w:val="auto"/>
                <w:sz w:val="24"/>
                <w:szCs w:val="24"/>
                <w:lang w:val="en-US" w:eastAsia="zh-CN"/>
              </w:rPr>
              <w:t>与中和渣</w:t>
            </w:r>
            <w:r>
              <w:rPr>
                <w:rFonts w:hint="default" w:ascii="Times New Roman" w:hAnsi="Times New Roman" w:cs="Times New Roman"/>
                <w:color w:val="auto"/>
                <w:sz w:val="24"/>
                <w:szCs w:val="24"/>
              </w:rPr>
              <w:t>、废托盘</w:t>
            </w:r>
            <w:r>
              <w:rPr>
                <w:rFonts w:hint="default" w:ascii="Times New Roman" w:hAnsi="Times New Roman" w:cs="Times New Roman"/>
                <w:color w:val="auto"/>
                <w:sz w:val="24"/>
                <w:szCs w:val="24"/>
                <w:lang w:val="en-US" w:eastAsia="zh-CN"/>
              </w:rPr>
              <w:t>与</w:t>
            </w:r>
            <w:r>
              <w:rPr>
                <w:rFonts w:hint="default" w:ascii="Times New Roman" w:hAnsi="Times New Roman" w:cs="Times New Roman"/>
                <w:color w:val="auto"/>
                <w:sz w:val="24"/>
                <w:szCs w:val="24"/>
              </w:rPr>
              <w:t>容器、</w:t>
            </w:r>
            <w:r>
              <w:rPr>
                <w:rFonts w:hint="default" w:ascii="Times New Roman" w:hAnsi="Times New Roman" w:cs="Times New Roman"/>
                <w:color w:val="auto"/>
                <w:sz w:val="24"/>
                <w:szCs w:val="24"/>
                <w:lang w:val="en-US" w:eastAsia="zh-CN"/>
              </w:rPr>
              <w:t>废劳保用品及</w:t>
            </w:r>
            <w:r>
              <w:rPr>
                <w:rFonts w:hint="default" w:ascii="Times New Roman" w:hAnsi="Times New Roman" w:cs="Times New Roman"/>
                <w:color w:val="auto"/>
                <w:sz w:val="24"/>
                <w:szCs w:val="24"/>
              </w:rPr>
              <w:t>喷淋废液</w:t>
            </w:r>
            <w:r>
              <w:rPr>
                <w:rFonts w:hint="default" w:ascii="Times New Roman" w:hAnsi="Times New Roman" w:cs="Times New Roman"/>
                <w:color w:val="auto"/>
                <w:sz w:val="24"/>
                <w:szCs w:val="24"/>
                <w:lang w:val="en-US" w:eastAsia="zh-CN"/>
              </w:rPr>
              <w:t>经密闭容器收集后暂存于危险废物暂存间，定期交有资质单位处置</w:t>
            </w:r>
            <w:r>
              <w:rPr>
                <w:rFonts w:hint="default" w:ascii="Times New Roman" w:hAnsi="Times New Roman" w:cs="Times New Roman"/>
                <w:color w:val="000000"/>
                <w:sz w:val="24"/>
                <w:szCs w:val="24"/>
                <w:lang w:eastAsia="zh-CN"/>
              </w:rPr>
              <w:t>。</w:t>
            </w:r>
          </w:p>
        </w:tc>
        <w:tc>
          <w:tcPr>
            <w:tcW w:w="883" w:type="dxa"/>
            <w:shd w:val="clear" w:color="auto" w:fill="auto"/>
            <w:vAlign w:val="top"/>
          </w:tcPr>
          <w:p w14:paraId="35927C6E">
            <w:pPr>
              <w:jc w:val="center"/>
              <w:rPr>
                <w:rFonts w:hint="eastAsia" w:ascii="Times New Roman" w:hAnsi="Times New Roman" w:cs="Times New Roman" w:eastAsiaTheme="minorEastAsia"/>
                <w:kern w:val="2"/>
                <w:sz w:val="21"/>
                <w:szCs w:val="21"/>
                <w:lang w:val="en-US" w:eastAsia="zh-CN" w:bidi="ar-SA"/>
              </w:rPr>
            </w:pPr>
            <w:r>
              <w:rPr>
                <w:rFonts w:hint="eastAsia" w:ascii="Times New Roman" w:cs="Times New Roman" w:hAnsiTheme="minorEastAsia"/>
                <w:sz w:val="24"/>
                <w:szCs w:val="24"/>
                <w:lang w:val="en-US" w:eastAsia="zh-CN"/>
              </w:rPr>
              <w:t>无</w:t>
            </w:r>
          </w:p>
        </w:tc>
      </w:tr>
    </w:tbl>
    <w:p w14:paraId="6D1044D0">
      <w:pPr>
        <w:rPr>
          <w:rFonts w:hint="eastAsia" w:ascii="Times New Roman" w:cs="Times New Roman" w:hAnsiTheme="minorEastAsia"/>
          <w:sz w:val="28"/>
          <w:szCs w:val="28"/>
        </w:rPr>
      </w:pPr>
      <w:r>
        <w:rPr>
          <w:rFonts w:hint="eastAsia" w:ascii="Times New Roman" w:cs="Times New Roman" w:hAnsiTheme="minorEastAsia"/>
          <w:sz w:val="28"/>
          <w:szCs w:val="28"/>
        </w:rPr>
        <w:t>注：根据《建设项目环境影响评价政府信息公开指南（试行）》的有关规定，上述环境影响报告书、表不含涉及国家秘密、商业秘密、个人隐私以及涉及国家安全、公共安全、经济安全和社会稳定的内容。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Calibri Light">
    <w:panose1 w:val="020F0302020204030204"/>
    <w:charset w:val="00"/>
    <w:family w:val="swiss"/>
    <w:pitch w:val="default"/>
    <w:sig w:usb0="E0002A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F95530A"/>
    <w:multiLevelType w:val="singleLevel"/>
    <w:tmpl w:val="9F95530A"/>
    <w:lvl w:ilvl="0" w:tentative="0">
      <w:start w:val="1"/>
      <w:numFmt w:val="decimal"/>
      <w:suff w:val="nothing"/>
      <w:lvlText w:val="%1、"/>
      <w:lvlJc w:val="left"/>
    </w:lvl>
  </w:abstractNum>
  <w:abstractNum w:abstractNumId="1">
    <w:nsid w:val="02E7358C"/>
    <w:multiLevelType w:val="singleLevel"/>
    <w:tmpl w:val="02E7358C"/>
    <w:lvl w:ilvl="0" w:tentative="0">
      <w:start w:val="1"/>
      <w:numFmt w:val="bullet"/>
      <w:pStyle w:val="5"/>
      <w:lvlText w:val=""/>
      <w:lvlJc w:val="left"/>
      <w:pPr>
        <w:tabs>
          <w:tab w:val="left" w:pos="2040"/>
        </w:tabs>
        <w:ind w:left="2040" w:hanging="360"/>
      </w:pPr>
      <w:rPr>
        <w:rFonts w:hint="default" w:ascii="Wingdings" w:hAnsi="Wingdings"/>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jBkNzJmMDU4YzRmYzNkMGQ2ZThhMmFlMDE2YTg3OTkifQ=="/>
  </w:docVars>
  <w:rsids>
    <w:rsidRoot w:val="001E5CDA"/>
    <w:rsid w:val="000254D6"/>
    <w:rsid w:val="00137019"/>
    <w:rsid w:val="001E5CDA"/>
    <w:rsid w:val="00A364B9"/>
    <w:rsid w:val="00EE20F3"/>
    <w:rsid w:val="012C67B3"/>
    <w:rsid w:val="02025461"/>
    <w:rsid w:val="03546191"/>
    <w:rsid w:val="064F2C3F"/>
    <w:rsid w:val="06FF6413"/>
    <w:rsid w:val="0C771E12"/>
    <w:rsid w:val="0D79298D"/>
    <w:rsid w:val="0F2138C1"/>
    <w:rsid w:val="117F61F0"/>
    <w:rsid w:val="16707C20"/>
    <w:rsid w:val="1C7D5101"/>
    <w:rsid w:val="1FA0658E"/>
    <w:rsid w:val="1FC802C5"/>
    <w:rsid w:val="210106A4"/>
    <w:rsid w:val="22715FC0"/>
    <w:rsid w:val="2473652D"/>
    <w:rsid w:val="251B12E1"/>
    <w:rsid w:val="267A1233"/>
    <w:rsid w:val="27052EC1"/>
    <w:rsid w:val="296348D8"/>
    <w:rsid w:val="2B033176"/>
    <w:rsid w:val="2BC50FE3"/>
    <w:rsid w:val="2D1626DD"/>
    <w:rsid w:val="2FA70495"/>
    <w:rsid w:val="303C36D2"/>
    <w:rsid w:val="33D8698B"/>
    <w:rsid w:val="36B83D65"/>
    <w:rsid w:val="3701326B"/>
    <w:rsid w:val="37D5281F"/>
    <w:rsid w:val="3C9B48E8"/>
    <w:rsid w:val="3FCA68B7"/>
    <w:rsid w:val="4110479E"/>
    <w:rsid w:val="43BA548A"/>
    <w:rsid w:val="46F550A6"/>
    <w:rsid w:val="47931AFF"/>
    <w:rsid w:val="492A064C"/>
    <w:rsid w:val="4937592F"/>
    <w:rsid w:val="4B2254B7"/>
    <w:rsid w:val="4BA6413B"/>
    <w:rsid w:val="4D7E008B"/>
    <w:rsid w:val="53634C01"/>
    <w:rsid w:val="5C5B5395"/>
    <w:rsid w:val="5CD65E0C"/>
    <w:rsid w:val="618B73F7"/>
    <w:rsid w:val="61EC0466"/>
    <w:rsid w:val="65327C25"/>
    <w:rsid w:val="66833198"/>
    <w:rsid w:val="696541D7"/>
    <w:rsid w:val="7A3D479D"/>
    <w:rsid w:val="7A4B0019"/>
    <w:rsid w:val="7A7F13E7"/>
    <w:rsid w:val="7ACC62D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qFormat="1"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0"/>
    <w:pPr>
      <w:keepNext/>
      <w:keepLines/>
      <w:spacing w:before="260" w:after="260" w:line="416" w:lineRule="auto"/>
      <w:outlineLvl w:val="1"/>
    </w:pPr>
    <w:rPr>
      <w:rFonts w:ascii="Calibri Light" w:hAnsi="Calibri Light" w:eastAsia="宋体" w:cs="Times New Roman"/>
      <w:b/>
      <w:bCs/>
      <w:sz w:val="32"/>
      <w:szCs w:val="32"/>
    </w:rPr>
  </w:style>
  <w:style w:type="character" w:default="1" w:styleId="9">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3">
    <w:name w:val="Normal Indent"/>
    <w:basedOn w:val="1"/>
    <w:next w:val="1"/>
    <w:qFormat/>
    <w:uiPriority w:val="0"/>
    <w:pPr>
      <w:spacing w:line="520" w:lineRule="atLeast"/>
      <w:ind w:firstLine="200"/>
    </w:pPr>
    <w:rPr>
      <w:sz w:val="28"/>
      <w:szCs w:val="21"/>
    </w:rPr>
  </w:style>
  <w:style w:type="paragraph" w:styleId="4">
    <w:name w:val="Body Text"/>
    <w:basedOn w:val="1"/>
    <w:next w:val="5"/>
    <w:qFormat/>
    <w:uiPriority w:val="0"/>
    <w:pPr>
      <w:spacing w:line="400" w:lineRule="exact"/>
    </w:pPr>
    <w:rPr>
      <w:sz w:val="28"/>
    </w:rPr>
  </w:style>
  <w:style w:type="paragraph" w:styleId="5">
    <w:name w:val="List Bullet 5"/>
    <w:basedOn w:val="1"/>
    <w:semiHidden/>
    <w:unhideWhenUsed/>
    <w:qFormat/>
    <w:uiPriority w:val="99"/>
    <w:pPr>
      <w:numPr>
        <w:ilvl w:val="0"/>
        <w:numId w:val="1"/>
      </w:numPr>
    </w:pPr>
  </w:style>
  <w:style w:type="paragraph" w:styleId="6">
    <w:name w:val="Body Text First Indent"/>
    <w:basedOn w:val="4"/>
    <w:next w:val="1"/>
    <w:unhideWhenUsed/>
    <w:qFormat/>
    <w:uiPriority w:val="0"/>
    <w:pPr>
      <w:ind w:firstLine="420" w:firstLineChars="100"/>
    </w:pPr>
  </w:style>
  <w:style w:type="table" w:styleId="8">
    <w:name w:val="Table Grid"/>
    <w:basedOn w:val="7"/>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customStyle="1" w:styleId="10">
    <w:name w:val="正文一"/>
    <w:basedOn w:val="1"/>
    <w:qFormat/>
    <w:uiPriority w:val="0"/>
    <w:pPr>
      <w:spacing w:line="600" w:lineRule="exact"/>
      <w:ind w:firstLine="200" w:firstLineChars="200"/>
    </w:pPr>
    <w:rPr>
      <w:rFonts w:ascii="Times New Roman" w:hAnsi="Times New Roman" w:eastAsia="宋体" w:cs="Times New Roman"/>
      <w:kern w:val="0"/>
      <w:sz w:val="28"/>
      <w:szCs w:val="2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908</Words>
  <Characters>947</Characters>
  <Lines>13</Lines>
  <Paragraphs>3</Paragraphs>
  <TotalTime>1</TotalTime>
  <ScaleCrop>false</ScaleCrop>
  <LinksUpToDate>false</LinksUpToDate>
  <CharactersWithSpaces>947</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2024-06-04T10:25:00Z</dcterms:created>
  <dc:creator>DUGUOZHU</dc:creator>
  <cp:lastModifiedBy>Administrator</cp:lastModifiedBy>
  <dcterms:modified xsi:type="dcterms:W3CDTF">2024-10-15T12:33:16Z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94860026EB3B4334A86938CA00B9B21C_12</vt:lpwstr>
  </property>
</Properties>
</file>