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ind w:firstLine="933" w:firstLineChars="300"/>
        <w:jc w:val="center"/>
        <w:rPr>
          <w:b/>
          <w:bCs/>
          <w:color w:val="FF0000"/>
          <w:spacing w:val="15"/>
          <w:sz w:val="28"/>
          <w:szCs w:val="28"/>
        </w:rPr>
      </w:pPr>
      <w:r>
        <w:rPr>
          <w:b/>
          <w:bCs/>
          <w:color w:val="FF0000"/>
          <w:spacing w:val="15"/>
          <w:sz w:val="28"/>
          <w:szCs w:val="28"/>
        </w:rPr>
        <w:t>周口市生态环境局</w:t>
      </w:r>
      <w:r>
        <w:rPr>
          <w:rFonts w:hint="eastAsia"/>
          <w:b/>
          <w:bCs/>
          <w:color w:val="FF0000"/>
          <w:spacing w:val="15"/>
          <w:sz w:val="28"/>
          <w:szCs w:val="28"/>
        </w:rPr>
        <w:t>西华分局</w:t>
      </w:r>
      <w:r>
        <w:rPr>
          <w:b/>
          <w:bCs/>
          <w:color w:val="FF0000"/>
          <w:spacing w:val="15"/>
          <w:sz w:val="28"/>
          <w:szCs w:val="28"/>
        </w:rPr>
        <w:t>关于</w:t>
      </w:r>
      <w:r>
        <w:rPr>
          <w:rFonts w:hint="eastAsia"/>
          <w:b/>
          <w:bCs/>
          <w:color w:val="FF0000"/>
          <w:spacing w:val="15"/>
          <w:sz w:val="28"/>
          <w:szCs w:val="28"/>
          <w:lang w:val="en-US" w:eastAsia="zh-CN"/>
        </w:rPr>
        <w:t>2024年7月17日对周口耕德电子有限公司C02车间EC线扩建项目等3个</w:t>
      </w:r>
      <w:r>
        <w:rPr>
          <w:b/>
          <w:bCs/>
          <w:color w:val="FF0000"/>
          <w:spacing w:val="15"/>
          <w:sz w:val="28"/>
          <w:szCs w:val="28"/>
        </w:rPr>
        <w:t>环境影响评价文件</w:t>
      </w:r>
      <w:r>
        <w:rPr>
          <w:rFonts w:hint="eastAsia"/>
          <w:b/>
          <w:bCs/>
          <w:color w:val="FF0000"/>
          <w:spacing w:val="15"/>
          <w:sz w:val="28"/>
          <w:szCs w:val="28"/>
          <w:lang w:val="en-US" w:eastAsia="zh-CN"/>
        </w:rPr>
        <w:t>作出</w:t>
      </w:r>
      <w:r>
        <w:rPr>
          <w:b/>
          <w:bCs/>
          <w:color w:val="FF0000"/>
          <w:spacing w:val="15"/>
          <w:sz w:val="28"/>
          <w:szCs w:val="28"/>
        </w:rPr>
        <w:t>受理拟审批决定的公示</w:t>
      </w:r>
    </w:p>
    <w:p>
      <w:pPr>
        <w:pStyle w:val="3"/>
        <w:widowControl/>
        <w:spacing w:before="0" w:beforeAutospacing="0" w:after="0" w:afterAutospacing="0" w:line="400" w:lineRule="exact"/>
        <w:ind w:firstLine="480" w:firstLineChars="200"/>
        <w:jc w:val="both"/>
        <w:rPr>
          <w:color w:val="FF0000"/>
          <w:spacing w:val="15"/>
          <w:sz w:val="21"/>
          <w:szCs w:val="21"/>
        </w:rPr>
      </w:pPr>
      <w:bookmarkStart w:id="2" w:name="_GoBack"/>
      <w:bookmarkEnd w:id="2"/>
    </w:p>
    <w:p>
      <w:pPr>
        <w:widowControl/>
        <w:spacing w:line="360" w:lineRule="auto"/>
        <w:ind w:firstLine="480" w:firstLineChars="200"/>
        <w:jc w:val="left"/>
        <w:rPr>
          <w:color w:val="0070C0"/>
          <w:spacing w:val="15"/>
          <w:szCs w:val="21"/>
        </w:rPr>
      </w:pPr>
      <w:r>
        <w:rPr>
          <w:color w:val="0070C0"/>
          <w:spacing w:val="15"/>
          <w:szCs w:val="21"/>
        </w:rPr>
        <w:t>根据建设项目环境影响评价审批程序的有关规定，经审议，我局拟对</w:t>
      </w:r>
      <w:r>
        <w:rPr>
          <w:rFonts w:hint="eastAsia"/>
          <w:color w:val="0070C0"/>
          <w:spacing w:val="15"/>
          <w:szCs w:val="21"/>
          <w:lang w:val="en-US" w:eastAsia="zh-CN"/>
        </w:rPr>
        <w:t>周口耕德电子有限公司C02车间EC线扩建项目等3个</w:t>
      </w:r>
      <w:r>
        <w:rPr>
          <w:color w:val="0070C0"/>
          <w:spacing w:val="15"/>
          <w:szCs w:val="21"/>
        </w:rPr>
        <w:t>环境影响评价文件作出受理拟审批意见。为保证受理拟审批意见的严肃性和公正性，现将建设项目环境影响评价文件的基本情况予以公示。如有异议，请在公示期内反馈我局行政审批服务</w:t>
      </w:r>
      <w:r>
        <w:rPr>
          <w:rFonts w:hint="eastAsia"/>
          <w:color w:val="0070C0"/>
          <w:spacing w:val="15"/>
          <w:szCs w:val="21"/>
          <w:lang w:val="en-US" w:eastAsia="zh-CN"/>
        </w:rPr>
        <w:t>股</w:t>
      </w:r>
      <w:r>
        <w:rPr>
          <w:color w:val="0070C0"/>
          <w:spacing w:val="15"/>
          <w:szCs w:val="21"/>
        </w:rPr>
        <w:t>。公示期为202</w:t>
      </w:r>
      <w:r>
        <w:rPr>
          <w:rFonts w:hint="eastAsia"/>
          <w:color w:val="0070C0"/>
          <w:spacing w:val="15"/>
          <w:szCs w:val="21"/>
        </w:rPr>
        <w:t>4</w:t>
      </w:r>
      <w:r>
        <w:rPr>
          <w:color w:val="0070C0"/>
          <w:spacing w:val="15"/>
          <w:szCs w:val="21"/>
        </w:rPr>
        <w:t>年</w:t>
      </w:r>
      <w:r>
        <w:rPr>
          <w:rFonts w:hint="eastAsia"/>
          <w:color w:val="0070C0"/>
          <w:spacing w:val="15"/>
          <w:szCs w:val="21"/>
        </w:rPr>
        <w:t>7</w:t>
      </w:r>
      <w:r>
        <w:rPr>
          <w:color w:val="0070C0"/>
          <w:spacing w:val="15"/>
          <w:szCs w:val="21"/>
        </w:rPr>
        <w:t>月</w:t>
      </w:r>
      <w:r>
        <w:rPr>
          <w:rFonts w:hint="eastAsia"/>
          <w:color w:val="0070C0"/>
          <w:spacing w:val="15"/>
          <w:szCs w:val="21"/>
        </w:rPr>
        <w:t>1</w:t>
      </w:r>
      <w:r>
        <w:rPr>
          <w:rFonts w:hint="eastAsia"/>
          <w:color w:val="0070C0"/>
          <w:spacing w:val="15"/>
          <w:szCs w:val="21"/>
          <w:lang w:val="en-US" w:eastAsia="zh-CN"/>
        </w:rPr>
        <w:t>7</w:t>
      </w:r>
      <w:r>
        <w:rPr>
          <w:color w:val="0070C0"/>
          <w:spacing w:val="15"/>
          <w:szCs w:val="21"/>
        </w:rPr>
        <w:t>日－202</w:t>
      </w:r>
      <w:r>
        <w:rPr>
          <w:rFonts w:hint="eastAsia"/>
          <w:color w:val="0070C0"/>
          <w:spacing w:val="15"/>
          <w:szCs w:val="21"/>
        </w:rPr>
        <w:t>4</w:t>
      </w:r>
      <w:r>
        <w:rPr>
          <w:color w:val="0070C0"/>
          <w:spacing w:val="15"/>
          <w:szCs w:val="21"/>
        </w:rPr>
        <w:t>年</w:t>
      </w:r>
      <w:r>
        <w:rPr>
          <w:rFonts w:hint="eastAsia"/>
          <w:color w:val="0070C0"/>
          <w:spacing w:val="15"/>
          <w:szCs w:val="21"/>
        </w:rPr>
        <w:t>7</w:t>
      </w:r>
      <w:r>
        <w:rPr>
          <w:color w:val="0070C0"/>
          <w:spacing w:val="15"/>
          <w:szCs w:val="21"/>
        </w:rPr>
        <w:t>月</w:t>
      </w:r>
      <w:r>
        <w:rPr>
          <w:rFonts w:hint="eastAsia"/>
          <w:color w:val="0070C0"/>
          <w:spacing w:val="15"/>
          <w:szCs w:val="21"/>
          <w:lang w:val="en-US" w:eastAsia="zh-CN"/>
        </w:rPr>
        <w:t>24</w:t>
      </w:r>
      <w:r>
        <w:rPr>
          <w:color w:val="0070C0"/>
          <w:spacing w:val="15"/>
          <w:szCs w:val="21"/>
        </w:rPr>
        <w:t>日。</w:t>
      </w:r>
    </w:p>
    <w:p>
      <w:pPr>
        <w:pStyle w:val="3"/>
        <w:widowControl/>
        <w:spacing w:before="0" w:beforeAutospacing="0" w:after="0" w:afterAutospacing="0" w:line="400" w:lineRule="exact"/>
        <w:rPr>
          <w:color w:val="0070C0"/>
          <w:spacing w:val="15"/>
          <w:sz w:val="21"/>
          <w:szCs w:val="21"/>
        </w:rPr>
      </w:pPr>
      <w:r>
        <w:rPr>
          <w:color w:val="0070C0"/>
          <w:spacing w:val="15"/>
          <w:sz w:val="21"/>
          <w:szCs w:val="21"/>
        </w:rPr>
        <w:t xml:space="preserve">   </w:t>
      </w:r>
      <w:r>
        <w:rPr>
          <w:rFonts w:hint="eastAsia"/>
          <w:color w:val="0070C0"/>
          <w:spacing w:val="15"/>
          <w:sz w:val="21"/>
          <w:szCs w:val="21"/>
        </w:rPr>
        <w:t xml:space="preserve"> </w:t>
      </w:r>
      <w:r>
        <w:rPr>
          <w:color w:val="0070C0"/>
          <w:spacing w:val="15"/>
          <w:sz w:val="21"/>
          <w:szCs w:val="21"/>
        </w:rPr>
        <w:t>电话：0394-2533775</w:t>
      </w:r>
    </w:p>
    <w:p>
      <w:pPr>
        <w:pStyle w:val="3"/>
        <w:widowControl/>
        <w:spacing w:before="0" w:beforeAutospacing="0" w:after="0" w:afterAutospacing="0" w:line="400" w:lineRule="exact"/>
        <w:ind w:firstLine="480" w:firstLineChars="200"/>
        <w:rPr>
          <w:color w:val="0070C0"/>
          <w:spacing w:val="15"/>
          <w:sz w:val="21"/>
          <w:szCs w:val="21"/>
        </w:rPr>
      </w:pPr>
      <w:r>
        <w:rPr>
          <w:color w:val="0070C0"/>
          <w:spacing w:val="15"/>
          <w:sz w:val="21"/>
          <w:szCs w:val="21"/>
        </w:rPr>
        <w:t>通讯地址：长平路与中华路交叉口路东西华县政务服务中心二楼东</w:t>
      </w:r>
    </w:p>
    <w:p>
      <w:pPr>
        <w:pStyle w:val="3"/>
        <w:widowControl/>
        <w:spacing w:before="0" w:beforeAutospacing="0" w:after="0" w:afterAutospacing="0" w:line="400" w:lineRule="exact"/>
        <w:rPr>
          <w:color w:val="0070C0"/>
          <w:sz w:val="21"/>
          <w:szCs w:val="21"/>
        </w:rPr>
      </w:pPr>
      <w:r>
        <w:rPr>
          <w:color w:val="0070C0"/>
          <w:spacing w:val="15"/>
          <w:sz w:val="21"/>
          <w:szCs w:val="21"/>
        </w:rPr>
        <w:t xml:space="preserve">    听证告知：依据《中华人民共和国行政许可法》，自公示起五个工作日内申请人、有重大利益关系的利害关系人可对以下拟作出的建设项目环境影响评价文件批复决定要求听证。</w:t>
      </w:r>
    </w:p>
    <w:p>
      <w:pPr>
        <w:pStyle w:val="3"/>
        <w:widowControl/>
        <w:spacing w:beforeAutospacing="0" w:afterAutospacing="0" w:line="400" w:lineRule="exact"/>
        <w:jc w:val="center"/>
        <w:rPr>
          <w:b/>
          <w:bCs/>
          <w:color w:val="0070C0"/>
        </w:rPr>
      </w:pPr>
      <w:r>
        <w:rPr>
          <w:b/>
          <w:bCs/>
          <w:color w:val="0070C0"/>
          <w:spacing w:val="15"/>
        </w:rPr>
        <w:t>受理拟审批的建设项目环境影响报告表</w:t>
      </w:r>
    </w:p>
    <w:tbl>
      <w:tblPr>
        <w:tblStyle w:val="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756"/>
        <w:gridCol w:w="1245"/>
        <w:gridCol w:w="1260"/>
        <w:gridCol w:w="917"/>
        <w:gridCol w:w="1245"/>
        <w:gridCol w:w="1905"/>
        <w:gridCol w:w="5445"/>
        <w:gridCol w:w="13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jc w:val="center"/>
        </w:trPr>
        <w:tc>
          <w:tcPr>
            <w:tcW w:w="756" w:type="dxa"/>
            <w:shd w:val="clear" w:color="auto" w:fill="auto"/>
            <w:tcMar>
              <w:top w:w="0" w:type="dxa"/>
              <w:left w:w="108" w:type="dxa"/>
              <w:bottom w:w="0" w:type="dxa"/>
              <w:right w:w="108" w:type="dxa"/>
            </w:tcMar>
            <w:vAlign w:val="center"/>
          </w:tcPr>
          <w:p>
            <w:pPr>
              <w:widowControl/>
              <w:spacing w:line="360" w:lineRule="auto"/>
              <w:jc w:val="left"/>
              <w:rPr>
                <w:rFonts w:ascii="Times New Roman" w:hAnsi="Times New Roman" w:eastAsia="宋体" w:cs="Times New Roman"/>
                <w:color w:val="0070C0"/>
                <w:spacing w:val="15"/>
                <w:szCs w:val="21"/>
              </w:rPr>
            </w:pPr>
            <w:r>
              <w:rPr>
                <w:rFonts w:ascii="Times New Roman" w:hAnsi="Times New Roman" w:eastAsia="宋体" w:cs="Times New Roman"/>
                <w:color w:val="0070C0"/>
                <w:spacing w:val="15"/>
                <w:szCs w:val="21"/>
              </w:rPr>
              <w:t>序号</w:t>
            </w:r>
          </w:p>
        </w:tc>
        <w:tc>
          <w:tcPr>
            <w:tcW w:w="1245" w:type="dxa"/>
            <w:shd w:val="clear" w:color="auto" w:fill="auto"/>
            <w:tcMar>
              <w:top w:w="0" w:type="dxa"/>
              <w:left w:w="108" w:type="dxa"/>
              <w:bottom w:w="0" w:type="dxa"/>
              <w:right w:w="108" w:type="dxa"/>
            </w:tcMar>
            <w:vAlign w:val="center"/>
          </w:tcPr>
          <w:p>
            <w:pPr>
              <w:widowControl/>
              <w:spacing w:line="360" w:lineRule="auto"/>
              <w:jc w:val="left"/>
              <w:rPr>
                <w:rFonts w:ascii="Times New Roman" w:hAnsi="Times New Roman" w:eastAsia="宋体" w:cs="Times New Roman"/>
                <w:color w:val="0070C0"/>
                <w:spacing w:val="15"/>
                <w:szCs w:val="21"/>
              </w:rPr>
            </w:pPr>
            <w:r>
              <w:rPr>
                <w:rFonts w:ascii="Times New Roman" w:hAnsi="Times New Roman" w:eastAsia="宋体" w:cs="Times New Roman"/>
                <w:color w:val="0070C0"/>
                <w:spacing w:val="15"/>
                <w:szCs w:val="21"/>
              </w:rPr>
              <w:t>项目名称</w:t>
            </w:r>
          </w:p>
        </w:tc>
        <w:tc>
          <w:tcPr>
            <w:tcW w:w="1260" w:type="dxa"/>
            <w:shd w:val="clear" w:color="auto" w:fill="auto"/>
            <w:tcMar>
              <w:top w:w="0" w:type="dxa"/>
              <w:left w:w="108" w:type="dxa"/>
              <w:bottom w:w="0" w:type="dxa"/>
              <w:right w:w="108" w:type="dxa"/>
            </w:tcMar>
            <w:vAlign w:val="center"/>
          </w:tcPr>
          <w:p>
            <w:pPr>
              <w:widowControl/>
              <w:spacing w:line="360" w:lineRule="auto"/>
              <w:jc w:val="left"/>
              <w:rPr>
                <w:rFonts w:ascii="Times New Roman" w:hAnsi="Times New Roman" w:eastAsia="宋体" w:cs="Times New Roman"/>
                <w:color w:val="0070C0"/>
                <w:spacing w:val="15"/>
                <w:szCs w:val="21"/>
              </w:rPr>
            </w:pPr>
            <w:r>
              <w:rPr>
                <w:rFonts w:ascii="Times New Roman" w:hAnsi="Times New Roman" w:eastAsia="宋体" w:cs="Times New Roman"/>
                <w:color w:val="0070C0"/>
                <w:spacing w:val="15"/>
                <w:szCs w:val="21"/>
              </w:rPr>
              <w:t>建设地点</w:t>
            </w:r>
          </w:p>
        </w:tc>
        <w:tc>
          <w:tcPr>
            <w:tcW w:w="917" w:type="dxa"/>
            <w:shd w:val="clear" w:color="auto" w:fill="auto"/>
            <w:tcMar>
              <w:top w:w="0" w:type="dxa"/>
              <w:left w:w="108" w:type="dxa"/>
              <w:bottom w:w="0" w:type="dxa"/>
              <w:right w:w="108" w:type="dxa"/>
            </w:tcMar>
            <w:vAlign w:val="center"/>
          </w:tcPr>
          <w:p>
            <w:pPr>
              <w:widowControl/>
              <w:spacing w:line="360" w:lineRule="auto"/>
              <w:jc w:val="left"/>
              <w:rPr>
                <w:rFonts w:ascii="Times New Roman" w:hAnsi="Times New Roman" w:eastAsia="宋体" w:cs="Times New Roman"/>
                <w:color w:val="0070C0"/>
                <w:spacing w:val="15"/>
                <w:szCs w:val="21"/>
              </w:rPr>
            </w:pPr>
            <w:r>
              <w:rPr>
                <w:rFonts w:ascii="Times New Roman" w:hAnsi="Times New Roman" w:eastAsia="宋体" w:cs="Times New Roman"/>
                <w:color w:val="0070C0"/>
                <w:spacing w:val="15"/>
                <w:szCs w:val="21"/>
              </w:rPr>
              <w:t>建设</w:t>
            </w:r>
          </w:p>
          <w:p>
            <w:pPr>
              <w:widowControl/>
              <w:spacing w:line="360" w:lineRule="auto"/>
              <w:jc w:val="left"/>
              <w:rPr>
                <w:rFonts w:ascii="Times New Roman" w:hAnsi="Times New Roman" w:eastAsia="宋体" w:cs="Times New Roman"/>
                <w:color w:val="0070C0"/>
                <w:spacing w:val="15"/>
                <w:szCs w:val="21"/>
              </w:rPr>
            </w:pPr>
            <w:r>
              <w:rPr>
                <w:rFonts w:ascii="Times New Roman" w:hAnsi="Times New Roman" w:eastAsia="宋体" w:cs="Times New Roman"/>
                <w:color w:val="0070C0"/>
                <w:spacing w:val="15"/>
                <w:szCs w:val="21"/>
              </w:rPr>
              <w:t>单位</w:t>
            </w:r>
          </w:p>
        </w:tc>
        <w:tc>
          <w:tcPr>
            <w:tcW w:w="1245" w:type="dxa"/>
            <w:shd w:val="clear" w:color="auto" w:fill="auto"/>
            <w:tcMar>
              <w:top w:w="0" w:type="dxa"/>
              <w:left w:w="108" w:type="dxa"/>
              <w:bottom w:w="0" w:type="dxa"/>
              <w:right w:w="108" w:type="dxa"/>
            </w:tcMar>
            <w:vAlign w:val="center"/>
          </w:tcPr>
          <w:p>
            <w:pPr>
              <w:widowControl/>
              <w:spacing w:line="360" w:lineRule="auto"/>
              <w:jc w:val="left"/>
              <w:rPr>
                <w:rFonts w:ascii="Times New Roman" w:hAnsi="Times New Roman" w:eastAsia="宋体" w:cs="Times New Roman"/>
                <w:color w:val="0070C0"/>
                <w:spacing w:val="15"/>
                <w:szCs w:val="21"/>
              </w:rPr>
            </w:pPr>
            <w:r>
              <w:rPr>
                <w:rFonts w:ascii="Times New Roman" w:hAnsi="Times New Roman" w:eastAsia="宋体" w:cs="Times New Roman"/>
                <w:color w:val="0070C0"/>
                <w:spacing w:val="15"/>
                <w:szCs w:val="21"/>
              </w:rPr>
              <w:t>环境影响评价机构</w:t>
            </w:r>
          </w:p>
        </w:tc>
        <w:tc>
          <w:tcPr>
            <w:tcW w:w="1905" w:type="dxa"/>
            <w:shd w:val="clear" w:color="auto" w:fill="auto"/>
            <w:tcMar>
              <w:top w:w="0" w:type="dxa"/>
              <w:left w:w="108" w:type="dxa"/>
              <w:bottom w:w="0" w:type="dxa"/>
              <w:right w:w="108" w:type="dxa"/>
            </w:tcMar>
            <w:vAlign w:val="center"/>
          </w:tcPr>
          <w:p>
            <w:pPr>
              <w:widowControl/>
              <w:spacing w:line="360" w:lineRule="auto"/>
              <w:jc w:val="left"/>
              <w:rPr>
                <w:rFonts w:ascii="Times New Roman" w:hAnsi="Times New Roman" w:eastAsia="宋体" w:cs="Times New Roman"/>
                <w:color w:val="0070C0"/>
                <w:spacing w:val="15"/>
                <w:szCs w:val="21"/>
              </w:rPr>
            </w:pPr>
            <w:r>
              <w:rPr>
                <w:rFonts w:ascii="Times New Roman" w:hAnsi="Times New Roman" w:eastAsia="宋体" w:cs="Times New Roman"/>
                <w:color w:val="0070C0"/>
                <w:spacing w:val="15"/>
                <w:szCs w:val="21"/>
              </w:rPr>
              <w:t>建设项目概况</w:t>
            </w:r>
          </w:p>
        </w:tc>
        <w:tc>
          <w:tcPr>
            <w:tcW w:w="5445" w:type="dxa"/>
            <w:shd w:val="clear" w:color="auto" w:fill="auto"/>
            <w:tcMar>
              <w:top w:w="0" w:type="dxa"/>
              <w:left w:w="108" w:type="dxa"/>
              <w:bottom w:w="0" w:type="dxa"/>
              <w:right w:w="108" w:type="dxa"/>
            </w:tcMar>
            <w:vAlign w:val="center"/>
          </w:tcPr>
          <w:p>
            <w:pPr>
              <w:widowControl/>
              <w:spacing w:line="360" w:lineRule="auto"/>
              <w:jc w:val="left"/>
              <w:rPr>
                <w:rFonts w:ascii="Times New Roman" w:hAnsi="Times New Roman" w:eastAsia="宋体" w:cs="Times New Roman"/>
                <w:color w:val="0070C0"/>
                <w:spacing w:val="15"/>
                <w:szCs w:val="21"/>
              </w:rPr>
            </w:pPr>
            <w:r>
              <w:rPr>
                <w:rFonts w:ascii="Times New Roman" w:hAnsi="Times New Roman" w:eastAsia="宋体" w:cs="Times New Roman"/>
                <w:color w:val="0070C0"/>
                <w:spacing w:val="15"/>
                <w:szCs w:val="21"/>
              </w:rPr>
              <w:t>主要环境影响及预防或减轻不良环境影响的对策和措施</w:t>
            </w:r>
          </w:p>
        </w:tc>
        <w:tc>
          <w:tcPr>
            <w:tcW w:w="1327" w:type="dxa"/>
            <w:shd w:val="clear" w:color="auto" w:fill="auto"/>
            <w:tcMar>
              <w:top w:w="0" w:type="dxa"/>
              <w:left w:w="108" w:type="dxa"/>
              <w:bottom w:w="0" w:type="dxa"/>
              <w:right w:w="108" w:type="dxa"/>
            </w:tcMar>
            <w:vAlign w:val="center"/>
          </w:tcPr>
          <w:p>
            <w:pPr>
              <w:widowControl/>
              <w:shd w:val="clear" w:color="auto" w:fill="FFFFFF"/>
              <w:rPr>
                <w:color w:val="4F81BD"/>
                <w:spacing w:val="15"/>
                <w:kern w:val="0"/>
                <w:szCs w:val="21"/>
              </w:rPr>
            </w:pPr>
            <w:r>
              <w:rPr>
                <w:color w:val="4F81BD"/>
                <w:spacing w:val="15"/>
                <w:kern w:val="0"/>
                <w:szCs w:val="21"/>
              </w:rPr>
              <w:t>公众参与情况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jc w:val="center"/>
        </w:trPr>
        <w:tc>
          <w:tcPr>
            <w:tcW w:w="756" w:type="dxa"/>
            <w:shd w:val="clear" w:color="auto" w:fill="auto"/>
            <w:tcMar>
              <w:top w:w="0" w:type="dxa"/>
              <w:left w:w="108" w:type="dxa"/>
              <w:bottom w:w="0" w:type="dxa"/>
              <w:right w:w="108" w:type="dxa"/>
            </w:tcMar>
            <w:vAlign w:val="center"/>
          </w:tcPr>
          <w:p>
            <w:pPr>
              <w:widowControl/>
              <w:spacing w:line="360" w:lineRule="auto"/>
              <w:jc w:val="left"/>
              <w:rPr>
                <w:rFonts w:hint="eastAsia" w:ascii="Times New Roman" w:hAnsi="Times New Roman" w:eastAsia="宋体" w:cs="Times New Roman"/>
                <w:color w:val="0070C0"/>
                <w:spacing w:val="15"/>
                <w:szCs w:val="21"/>
                <w:lang w:val="en-US" w:eastAsia="zh-CN"/>
              </w:rPr>
            </w:pPr>
            <w:r>
              <w:rPr>
                <w:rFonts w:hint="eastAsia" w:cs="Times New Roman"/>
                <w:color w:val="0070C0"/>
                <w:spacing w:val="15"/>
                <w:szCs w:val="21"/>
                <w:lang w:val="en-US" w:eastAsia="zh-CN"/>
              </w:rPr>
              <w:t>1</w:t>
            </w:r>
          </w:p>
        </w:tc>
        <w:tc>
          <w:tcPr>
            <w:tcW w:w="1245" w:type="dxa"/>
            <w:shd w:val="clear" w:color="auto" w:fill="auto"/>
            <w:tcMar>
              <w:top w:w="0" w:type="dxa"/>
              <w:left w:w="108" w:type="dxa"/>
              <w:bottom w:w="0" w:type="dxa"/>
              <w:right w:w="108" w:type="dxa"/>
            </w:tcMar>
            <w:vAlign w:val="center"/>
          </w:tcPr>
          <w:p>
            <w:pPr>
              <w:widowControl/>
              <w:spacing w:line="360" w:lineRule="auto"/>
              <w:jc w:val="left"/>
              <w:rPr>
                <w:rFonts w:ascii="Times New Roman" w:hAnsi="Times New Roman" w:eastAsia="宋体" w:cs="Times New Roman"/>
                <w:color w:val="0070C0"/>
                <w:spacing w:val="15"/>
                <w:szCs w:val="21"/>
              </w:rPr>
            </w:pPr>
            <w:r>
              <w:rPr>
                <w:rFonts w:hint="eastAsia" w:ascii="Times New Roman" w:hAnsi="Times New Roman" w:eastAsia="宋体" w:cs="Times New Roman"/>
                <w:color w:val="4F81BD"/>
                <w:spacing w:val="15"/>
                <w:sz w:val="21"/>
                <w:szCs w:val="21"/>
                <w:lang w:val="en-US" w:eastAsia="zh-CN"/>
              </w:rPr>
              <w:t>周口耕德电子有限公司C02车间EC线扩建项目</w:t>
            </w:r>
          </w:p>
        </w:tc>
        <w:tc>
          <w:tcPr>
            <w:tcW w:w="1260" w:type="dxa"/>
            <w:shd w:val="clear" w:color="auto" w:fill="auto"/>
            <w:tcMar>
              <w:top w:w="0" w:type="dxa"/>
              <w:left w:w="108" w:type="dxa"/>
              <w:bottom w:w="0" w:type="dxa"/>
              <w:right w:w="108" w:type="dxa"/>
            </w:tcMar>
            <w:vAlign w:val="center"/>
          </w:tcPr>
          <w:p>
            <w:pPr>
              <w:widowControl/>
              <w:spacing w:line="360" w:lineRule="auto"/>
              <w:jc w:val="left"/>
              <w:rPr>
                <w:rFonts w:ascii="Times New Roman" w:hAnsi="Times New Roman" w:eastAsia="宋体" w:cs="Times New Roman"/>
                <w:color w:val="0070C0"/>
                <w:spacing w:val="15"/>
                <w:szCs w:val="21"/>
              </w:rPr>
            </w:pPr>
            <w:r>
              <w:rPr>
                <w:rFonts w:hint="default" w:ascii="Times New Roman" w:hAnsi="Times New Roman" w:eastAsia="宋体" w:cs="Times New Roman"/>
                <w:color w:val="4F81BD"/>
                <w:spacing w:val="15"/>
                <w:sz w:val="21"/>
                <w:szCs w:val="21"/>
                <w:lang w:val="en-US" w:eastAsia="zh-CN"/>
              </w:rPr>
              <w:t>河南省周口市西华县西华经济技术开发区中华路北段</w:t>
            </w:r>
          </w:p>
        </w:tc>
        <w:tc>
          <w:tcPr>
            <w:tcW w:w="917" w:type="dxa"/>
            <w:shd w:val="clear" w:color="auto" w:fill="auto"/>
            <w:tcMar>
              <w:top w:w="0" w:type="dxa"/>
              <w:left w:w="108" w:type="dxa"/>
              <w:bottom w:w="0" w:type="dxa"/>
              <w:right w:w="108" w:type="dxa"/>
            </w:tcMar>
            <w:vAlign w:val="center"/>
          </w:tcPr>
          <w:p>
            <w:pPr>
              <w:widowControl/>
              <w:spacing w:line="360" w:lineRule="auto"/>
              <w:jc w:val="left"/>
              <w:rPr>
                <w:rFonts w:ascii="Times New Roman" w:hAnsi="Times New Roman" w:eastAsia="宋体" w:cs="Times New Roman"/>
                <w:color w:val="0070C0"/>
                <w:spacing w:val="15"/>
                <w:szCs w:val="21"/>
              </w:rPr>
            </w:pPr>
            <w:r>
              <w:rPr>
                <w:rFonts w:hint="eastAsia" w:ascii="Times New Roman" w:hAnsi="Times New Roman" w:eastAsia="宋体" w:cs="Times New Roman"/>
                <w:color w:val="4F81BD"/>
                <w:spacing w:val="15"/>
                <w:sz w:val="21"/>
                <w:szCs w:val="21"/>
                <w:lang w:val="en-US" w:eastAsia="zh-CN"/>
              </w:rPr>
              <w:t>周口耕德电子有限公司</w:t>
            </w:r>
          </w:p>
        </w:tc>
        <w:tc>
          <w:tcPr>
            <w:tcW w:w="1245" w:type="dxa"/>
            <w:shd w:val="clear" w:color="auto" w:fill="auto"/>
            <w:tcMar>
              <w:top w:w="0" w:type="dxa"/>
              <w:left w:w="108" w:type="dxa"/>
              <w:bottom w:w="0" w:type="dxa"/>
              <w:right w:w="108" w:type="dxa"/>
            </w:tcMar>
            <w:vAlign w:val="center"/>
          </w:tcPr>
          <w:p>
            <w:pPr>
              <w:widowControl/>
              <w:spacing w:line="360" w:lineRule="auto"/>
              <w:jc w:val="left"/>
              <w:rPr>
                <w:rFonts w:ascii="Times New Roman" w:hAnsi="Times New Roman" w:eastAsia="宋体" w:cs="Times New Roman"/>
                <w:color w:val="0070C0"/>
                <w:spacing w:val="15"/>
                <w:szCs w:val="21"/>
              </w:rPr>
            </w:pPr>
            <w:r>
              <w:rPr>
                <w:rFonts w:hint="eastAsia" w:ascii="Times New Roman" w:hAnsi="Times New Roman" w:eastAsia="宋体" w:cs="Times New Roman"/>
                <w:color w:val="4F81BD"/>
                <w:spacing w:val="15"/>
                <w:sz w:val="21"/>
                <w:szCs w:val="21"/>
                <w:lang w:val="en-US" w:eastAsia="zh-CN"/>
              </w:rPr>
              <w:t>河南探月环保科技有限公司</w:t>
            </w:r>
          </w:p>
        </w:tc>
        <w:tc>
          <w:tcPr>
            <w:tcW w:w="1905" w:type="dxa"/>
            <w:shd w:val="clear" w:color="auto" w:fill="auto"/>
            <w:tcMar>
              <w:top w:w="0" w:type="dxa"/>
              <w:left w:w="108" w:type="dxa"/>
              <w:bottom w:w="0" w:type="dxa"/>
              <w:right w:w="108" w:type="dxa"/>
            </w:tcMar>
            <w:vAlign w:val="center"/>
          </w:tcPr>
          <w:p>
            <w:pPr>
              <w:widowControl/>
              <w:spacing w:line="360" w:lineRule="auto"/>
              <w:jc w:val="left"/>
              <w:rPr>
                <w:rFonts w:ascii="Times New Roman" w:hAnsi="Times New Roman" w:eastAsia="宋体" w:cs="Times New Roman"/>
                <w:color w:val="0070C0"/>
                <w:spacing w:val="15"/>
                <w:szCs w:val="21"/>
              </w:rPr>
            </w:pPr>
            <w:r>
              <w:rPr>
                <w:rFonts w:hint="default" w:ascii="Times New Roman" w:hAnsi="Times New Roman" w:eastAsia="宋体" w:cs="Times New Roman"/>
                <w:color w:val="4F81BD"/>
                <w:spacing w:val="15"/>
                <w:sz w:val="21"/>
                <w:szCs w:val="21"/>
                <w:lang w:val="en-US" w:eastAsia="zh-CN"/>
              </w:rPr>
              <w:t>项目利用现有四期工程C02车间进行项目的生产，不新增用地面积。本项目属于改扩建项目，用地性质为工业用地。项目总投资1000万元，环保投资60万元。项目扩建完成后年处理450万支钛铝合金手机中框。</w:t>
            </w:r>
          </w:p>
        </w:tc>
        <w:tc>
          <w:tcPr>
            <w:tcW w:w="5445" w:type="dxa"/>
            <w:shd w:val="clear" w:color="auto" w:fill="auto"/>
            <w:tcMar>
              <w:top w:w="0" w:type="dxa"/>
              <w:left w:w="108" w:type="dxa"/>
              <w:bottom w:w="0" w:type="dxa"/>
              <w:right w:w="108" w:type="dxa"/>
            </w:tcMar>
            <w:vAlign w:val="center"/>
          </w:tcPr>
          <w:p>
            <w:pPr>
              <w:keepNext w:val="0"/>
              <w:keepLines w:val="0"/>
              <w:widowControl/>
              <w:suppressLineNumbers w:val="0"/>
              <w:spacing w:after="0" w:afterLines="0" w:line="360" w:lineRule="auto"/>
              <w:jc w:val="left"/>
              <w:rPr>
                <w:rFonts w:hint="default" w:ascii="Times New Roman" w:hAnsi="Times New Roman" w:eastAsia="宋体" w:cs="Times New Roman"/>
                <w:color w:val="4F81BD"/>
                <w:spacing w:val="15"/>
                <w:sz w:val="21"/>
                <w:szCs w:val="21"/>
                <w:lang w:val="en-US" w:eastAsia="zh-CN"/>
              </w:rPr>
            </w:pPr>
            <w:r>
              <w:rPr>
                <w:rFonts w:hint="default" w:ascii="Times New Roman" w:hAnsi="Times New Roman" w:eastAsia="宋体" w:cs="Times New Roman"/>
                <w:color w:val="4F81BD"/>
                <w:spacing w:val="15"/>
                <w:sz w:val="21"/>
                <w:szCs w:val="21"/>
                <w:lang w:eastAsia="zh-CN"/>
              </w:rPr>
              <w:t>（</w:t>
            </w:r>
            <w:r>
              <w:rPr>
                <w:rFonts w:hint="default" w:ascii="Times New Roman" w:hAnsi="Times New Roman" w:eastAsia="宋体" w:cs="Times New Roman"/>
                <w:color w:val="4F81BD"/>
                <w:spacing w:val="15"/>
                <w:sz w:val="21"/>
                <w:szCs w:val="21"/>
                <w:lang w:val="en-US" w:eastAsia="zh-CN"/>
              </w:rPr>
              <w:t>1</w:t>
            </w:r>
            <w:r>
              <w:rPr>
                <w:rFonts w:hint="default" w:ascii="Times New Roman" w:hAnsi="Times New Roman" w:eastAsia="宋体" w:cs="Times New Roman"/>
                <w:color w:val="4F81BD"/>
                <w:spacing w:val="15"/>
                <w:sz w:val="21"/>
                <w:szCs w:val="21"/>
                <w:lang w:eastAsia="zh-CN"/>
              </w:rPr>
              <w:t>）</w:t>
            </w:r>
            <w:r>
              <w:rPr>
                <w:rFonts w:hint="default" w:ascii="Times New Roman" w:hAnsi="Times New Roman" w:eastAsia="宋体" w:cs="Times New Roman"/>
                <w:color w:val="4F81BD"/>
                <w:spacing w:val="15"/>
                <w:sz w:val="21"/>
                <w:szCs w:val="21"/>
              </w:rPr>
              <w:t>废气：本项目运营期产生的大气污染物主要为</w:t>
            </w:r>
            <w:r>
              <w:rPr>
                <w:rFonts w:hint="default" w:ascii="Times New Roman" w:hAnsi="Times New Roman" w:eastAsia="宋体" w:cs="Times New Roman"/>
                <w:color w:val="4F81BD"/>
                <w:spacing w:val="15"/>
                <w:sz w:val="21"/>
                <w:szCs w:val="21"/>
                <w:lang w:val="en-US" w:eastAsia="zh-CN"/>
              </w:rPr>
              <w:t>EC线打砂槽、中和槽、电解槽、T处理槽</w:t>
            </w:r>
            <w:r>
              <w:rPr>
                <w:rFonts w:hint="default" w:ascii="Times New Roman" w:hAnsi="Times New Roman" w:eastAsia="宋体" w:cs="Times New Roman"/>
                <w:color w:val="4F81BD"/>
                <w:spacing w:val="15"/>
                <w:sz w:val="21"/>
                <w:szCs w:val="21"/>
              </w:rPr>
              <w:t>废气</w:t>
            </w:r>
            <w:r>
              <w:rPr>
                <w:rFonts w:hint="default" w:ascii="Times New Roman" w:hAnsi="Times New Roman" w:eastAsia="宋体" w:cs="Times New Roman"/>
                <w:color w:val="4F81BD"/>
                <w:spacing w:val="15"/>
                <w:sz w:val="21"/>
                <w:szCs w:val="21"/>
                <w:lang w:val="en-US" w:eastAsia="zh-CN"/>
              </w:rPr>
              <w:t>和污水处理站废气。</w:t>
            </w:r>
            <w:r>
              <w:rPr>
                <w:rFonts w:hint="default" w:ascii="Times New Roman" w:hAnsi="Times New Roman" w:eastAsia="宋体" w:cs="Times New Roman"/>
                <w:color w:val="4F81BD"/>
                <w:spacing w:val="15"/>
                <w:sz w:val="21"/>
                <w:szCs w:val="21"/>
              </w:rPr>
              <w:t>EC线为全封闭形式，</w:t>
            </w:r>
            <w:r>
              <w:rPr>
                <w:rFonts w:hint="default" w:ascii="Times New Roman" w:hAnsi="Times New Roman" w:eastAsia="宋体" w:cs="Times New Roman"/>
                <w:color w:val="4F81BD"/>
                <w:spacing w:val="15"/>
                <w:sz w:val="21"/>
                <w:szCs w:val="21"/>
                <w:lang w:val="en-US" w:eastAsia="zh-CN"/>
              </w:rPr>
              <w:t>产生废气的槽体设置侧吸罩和顶吸罩废气收集系统，同时生产线</w:t>
            </w:r>
            <w:r>
              <w:rPr>
                <w:rFonts w:hint="default" w:ascii="Times New Roman" w:hAnsi="Times New Roman" w:eastAsia="宋体" w:cs="Times New Roman"/>
                <w:color w:val="4F81BD"/>
                <w:spacing w:val="15"/>
                <w:sz w:val="21"/>
                <w:szCs w:val="21"/>
              </w:rPr>
              <w:t>通过负压</w:t>
            </w:r>
            <w:r>
              <w:rPr>
                <w:rFonts w:hint="default" w:ascii="Times New Roman" w:hAnsi="Times New Roman" w:eastAsia="宋体" w:cs="Times New Roman"/>
                <w:color w:val="4F81BD"/>
                <w:spacing w:val="15"/>
                <w:sz w:val="21"/>
                <w:szCs w:val="21"/>
                <w:lang w:val="en-US" w:eastAsia="zh-CN"/>
              </w:rPr>
              <w:t>抽风系统</w:t>
            </w:r>
            <w:r>
              <w:rPr>
                <w:rFonts w:hint="default" w:ascii="Times New Roman" w:hAnsi="Times New Roman" w:eastAsia="宋体" w:cs="Times New Roman"/>
                <w:color w:val="4F81BD"/>
                <w:spacing w:val="15"/>
                <w:sz w:val="21"/>
                <w:szCs w:val="21"/>
              </w:rPr>
              <w:t>使废气经收集后进入</w:t>
            </w:r>
            <w:r>
              <w:rPr>
                <w:rFonts w:hint="default" w:ascii="Times New Roman" w:hAnsi="Times New Roman" w:eastAsia="宋体" w:cs="Times New Roman"/>
                <w:color w:val="4F81BD"/>
                <w:spacing w:val="15"/>
                <w:sz w:val="21"/>
                <w:szCs w:val="21"/>
                <w:lang w:val="en-US" w:eastAsia="zh-CN"/>
              </w:rPr>
              <w:t>碱喷淋+UV光氧+活性炭吸附装置</w:t>
            </w:r>
            <w:r>
              <w:rPr>
                <w:rFonts w:hint="default" w:ascii="Times New Roman" w:hAnsi="Times New Roman" w:eastAsia="宋体" w:cs="Times New Roman"/>
                <w:color w:val="4F81BD"/>
                <w:spacing w:val="15"/>
                <w:sz w:val="21"/>
                <w:szCs w:val="21"/>
              </w:rPr>
              <w:t>，</w:t>
            </w:r>
            <w:r>
              <w:rPr>
                <w:rFonts w:hint="default" w:ascii="Times New Roman" w:hAnsi="Times New Roman" w:eastAsia="宋体" w:cs="Times New Roman"/>
                <w:color w:val="4F81BD"/>
                <w:spacing w:val="15"/>
                <w:sz w:val="21"/>
                <w:szCs w:val="21"/>
                <w:lang w:val="en-US" w:eastAsia="zh-CN"/>
              </w:rPr>
              <w:t>经处理后废气硫酸雾、氟化物、非甲烷总烃</w:t>
            </w:r>
            <w:r>
              <w:rPr>
                <w:rFonts w:hint="eastAsia" w:ascii="Times New Roman" w:hAnsi="Times New Roman" w:eastAsia="宋体" w:cs="Times New Roman"/>
                <w:color w:val="4F81BD"/>
                <w:spacing w:val="15"/>
                <w:sz w:val="21"/>
                <w:szCs w:val="21"/>
                <w:lang w:val="en-US" w:eastAsia="zh-CN"/>
              </w:rPr>
              <w:t>应</w:t>
            </w:r>
            <w:r>
              <w:rPr>
                <w:rFonts w:hint="default" w:ascii="Times New Roman" w:hAnsi="Times New Roman" w:eastAsia="宋体" w:cs="Times New Roman"/>
                <w:color w:val="4F81BD"/>
                <w:spacing w:val="15"/>
                <w:sz w:val="21"/>
                <w:szCs w:val="21"/>
                <w:lang w:val="en-US" w:eastAsia="zh-CN"/>
              </w:rPr>
              <w:t>满足</w:t>
            </w:r>
            <w:r>
              <w:rPr>
                <w:rFonts w:hint="default" w:ascii="Times New Roman" w:hAnsi="Times New Roman" w:eastAsia="宋体" w:cs="Times New Roman"/>
                <w:color w:val="4F81BD"/>
                <w:spacing w:val="15"/>
                <w:sz w:val="21"/>
                <w:szCs w:val="21"/>
              </w:rPr>
              <w:t>《大气污染物综合排放标准》（GB16297-1996）表2</w:t>
            </w:r>
            <w:r>
              <w:rPr>
                <w:rFonts w:hint="default" w:ascii="Times New Roman" w:hAnsi="Times New Roman" w:eastAsia="宋体" w:cs="Times New Roman"/>
                <w:color w:val="4F81BD"/>
                <w:spacing w:val="15"/>
                <w:sz w:val="21"/>
                <w:szCs w:val="21"/>
                <w:lang w:val="en-US" w:eastAsia="zh-CN"/>
              </w:rPr>
              <w:t>二级标准，非甲烷总烃同时满足</w:t>
            </w:r>
            <w:r>
              <w:rPr>
                <w:rFonts w:hint="default" w:ascii="Times New Roman" w:hAnsi="Times New Roman" w:eastAsia="宋体" w:cs="Times New Roman"/>
                <w:color w:val="4F81BD"/>
                <w:spacing w:val="15"/>
                <w:sz w:val="21"/>
                <w:szCs w:val="21"/>
              </w:rPr>
              <w:t>豫环攻坚办〔2017〕162号</w:t>
            </w:r>
            <w:r>
              <w:rPr>
                <w:rFonts w:hint="default" w:ascii="Times New Roman" w:hAnsi="Times New Roman" w:eastAsia="宋体" w:cs="Times New Roman"/>
                <w:color w:val="4F81BD"/>
                <w:spacing w:val="15"/>
                <w:sz w:val="21"/>
                <w:szCs w:val="21"/>
                <w:lang w:eastAsia="zh-CN"/>
              </w:rPr>
              <w:t>（</w:t>
            </w:r>
            <w:r>
              <w:rPr>
                <w:rFonts w:hint="default" w:ascii="Times New Roman" w:hAnsi="Times New Roman" w:eastAsia="宋体" w:cs="Times New Roman"/>
                <w:color w:val="4F81BD"/>
                <w:spacing w:val="15"/>
                <w:sz w:val="21"/>
                <w:szCs w:val="21"/>
                <w:lang w:val="en-US" w:eastAsia="zh-CN"/>
              </w:rPr>
              <w:t>其他行业</w:t>
            </w:r>
            <w:r>
              <w:rPr>
                <w:rFonts w:hint="default" w:ascii="Times New Roman" w:hAnsi="Times New Roman" w:eastAsia="宋体" w:cs="Times New Roman"/>
                <w:color w:val="4F81BD"/>
                <w:spacing w:val="15"/>
                <w:sz w:val="21"/>
                <w:szCs w:val="21"/>
                <w:lang w:eastAsia="zh-CN"/>
              </w:rPr>
              <w:t>）</w:t>
            </w:r>
            <w:r>
              <w:rPr>
                <w:rFonts w:hint="default" w:ascii="Times New Roman" w:hAnsi="Times New Roman" w:eastAsia="宋体" w:cs="Times New Roman"/>
                <w:color w:val="4F81BD"/>
                <w:spacing w:val="15"/>
                <w:sz w:val="21"/>
                <w:szCs w:val="21"/>
                <w:lang w:val="en-US" w:eastAsia="zh-CN"/>
              </w:rPr>
              <w:t>限值要求，氨满足</w:t>
            </w:r>
            <w:r>
              <w:rPr>
                <w:rFonts w:hint="default" w:ascii="Times New Roman" w:hAnsi="Times New Roman" w:eastAsia="宋体" w:cs="Times New Roman"/>
                <w:color w:val="4F81BD"/>
                <w:spacing w:val="15"/>
                <w:sz w:val="21"/>
                <w:szCs w:val="21"/>
              </w:rPr>
              <w:t>《恶臭物染污物排放标准》（GB14554-93）表2</w:t>
            </w:r>
            <w:r>
              <w:rPr>
                <w:rFonts w:hint="default" w:ascii="Times New Roman" w:hAnsi="Times New Roman" w:eastAsia="宋体" w:cs="Times New Roman"/>
                <w:color w:val="4F81BD"/>
                <w:spacing w:val="15"/>
                <w:sz w:val="21"/>
                <w:szCs w:val="21"/>
                <w:lang w:val="en-US" w:eastAsia="zh-CN"/>
              </w:rPr>
              <w:t>标准。</w:t>
            </w:r>
            <w:r>
              <w:rPr>
                <w:rFonts w:hint="default" w:ascii="Times New Roman" w:hAnsi="Times New Roman" w:eastAsia="宋体" w:cs="Times New Roman"/>
                <w:color w:val="4F81BD"/>
                <w:spacing w:val="15"/>
                <w:sz w:val="21"/>
                <w:szCs w:val="21"/>
              </w:rPr>
              <w:t>本</w:t>
            </w:r>
            <w:r>
              <w:rPr>
                <w:rFonts w:hint="default" w:ascii="Times New Roman" w:hAnsi="Times New Roman" w:eastAsia="宋体" w:cs="Times New Roman"/>
                <w:color w:val="4F81BD"/>
                <w:spacing w:val="15"/>
                <w:sz w:val="21"/>
                <w:szCs w:val="21"/>
                <w:lang w:val="en-US" w:eastAsia="zh-CN"/>
              </w:rPr>
              <w:t>扩建</w:t>
            </w:r>
            <w:r>
              <w:rPr>
                <w:rFonts w:hint="default" w:ascii="Times New Roman" w:hAnsi="Times New Roman" w:eastAsia="宋体" w:cs="Times New Roman"/>
                <w:color w:val="4F81BD"/>
                <w:spacing w:val="15"/>
                <w:sz w:val="21"/>
                <w:szCs w:val="21"/>
              </w:rPr>
              <w:t>项目</w:t>
            </w:r>
            <w:r>
              <w:rPr>
                <w:rFonts w:hint="default" w:ascii="Times New Roman" w:hAnsi="Times New Roman" w:eastAsia="宋体" w:cs="Times New Roman"/>
                <w:color w:val="4F81BD"/>
                <w:spacing w:val="15"/>
                <w:sz w:val="21"/>
                <w:szCs w:val="21"/>
                <w:lang w:val="en-US" w:eastAsia="zh-CN"/>
              </w:rPr>
              <w:t>废水依托现有厂区</w:t>
            </w:r>
            <w:r>
              <w:rPr>
                <w:rFonts w:hint="default" w:ascii="Times New Roman" w:hAnsi="Times New Roman" w:eastAsia="宋体" w:cs="Times New Roman"/>
                <w:color w:val="4F81BD"/>
                <w:spacing w:val="15"/>
                <w:sz w:val="21"/>
                <w:szCs w:val="21"/>
              </w:rPr>
              <w:t>污水处理站</w:t>
            </w:r>
            <w:r>
              <w:rPr>
                <w:rFonts w:hint="default" w:ascii="Times New Roman" w:hAnsi="Times New Roman" w:eastAsia="宋体" w:cs="Times New Roman"/>
                <w:color w:val="4F81BD"/>
                <w:spacing w:val="15"/>
                <w:sz w:val="21"/>
                <w:szCs w:val="21"/>
                <w:lang w:val="en-US" w:eastAsia="zh-CN"/>
              </w:rPr>
              <w:t>进行处理，污水站</w:t>
            </w:r>
            <w:r>
              <w:rPr>
                <w:rFonts w:hint="default" w:ascii="Times New Roman" w:hAnsi="Times New Roman" w:eastAsia="宋体" w:cs="Times New Roman"/>
                <w:color w:val="4F81BD"/>
                <w:spacing w:val="15"/>
                <w:sz w:val="21"/>
                <w:szCs w:val="21"/>
              </w:rPr>
              <w:t>运行过程中会产生少量的</w:t>
            </w:r>
            <w:r>
              <w:rPr>
                <w:rFonts w:hint="default" w:ascii="Times New Roman" w:hAnsi="Times New Roman" w:eastAsia="宋体" w:cs="Times New Roman"/>
                <w:color w:val="4F81BD"/>
                <w:spacing w:val="15"/>
                <w:sz w:val="21"/>
                <w:szCs w:val="21"/>
                <w:lang w:val="en-US" w:eastAsia="zh-CN"/>
              </w:rPr>
              <w:t>恶臭气体</w:t>
            </w:r>
            <w:r>
              <w:rPr>
                <w:rFonts w:hint="default" w:ascii="Times New Roman" w:hAnsi="Times New Roman" w:eastAsia="宋体" w:cs="Times New Roman"/>
                <w:color w:val="4F81BD"/>
                <w:spacing w:val="15"/>
                <w:sz w:val="21"/>
                <w:szCs w:val="21"/>
              </w:rPr>
              <w:t>，</w:t>
            </w:r>
            <w:r>
              <w:rPr>
                <w:rFonts w:hint="default" w:ascii="Times New Roman" w:hAnsi="Times New Roman" w:eastAsia="宋体" w:cs="Times New Roman"/>
                <w:color w:val="4F81BD"/>
                <w:spacing w:val="15"/>
                <w:sz w:val="21"/>
                <w:szCs w:val="21"/>
                <w:lang w:val="en-US" w:eastAsia="zh-CN"/>
              </w:rPr>
              <w:t>现有厂区</w:t>
            </w:r>
            <w:r>
              <w:rPr>
                <w:rFonts w:hint="default" w:ascii="Times New Roman" w:hAnsi="Times New Roman" w:eastAsia="宋体" w:cs="Times New Roman"/>
                <w:color w:val="4F81BD"/>
                <w:spacing w:val="15"/>
                <w:sz w:val="21"/>
                <w:szCs w:val="21"/>
              </w:rPr>
              <w:t>污水处理站</w:t>
            </w:r>
            <w:r>
              <w:rPr>
                <w:rFonts w:hint="default" w:ascii="Times New Roman" w:hAnsi="Times New Roman" w:eastAsia="宋体" w:cs="Times New Roman"/>
                <w:color w:val="4F81BD"/>
                <w:spacing w:val="15"/>
                <w:sz w:val="21"/>
                <w:szCs w:val="21"/>
                <w:lang w:val="en-US" w:eastAsia="zh-CN"/>
              </w:rPr>
              <w:t>恶臭气体</w:t>
            </w:r>
            <w:r>
              <w:rPr>
                <w:rFonts w:hint="default" w:ascii="Times New Roman" w:hAnsi="Times New Roman" w:eastAsia="宋体" w:cs="Times New Roman"/>
                <w:color w:val="4F81BD"/>
                <w:spacing w:val="15"/>
                <w:sz w:val="21"/>
                <w:szCs w:val="21"/>
              </w:rPr>
              <w:t>采用UV光解+活性炭吸附处理工艺</w:t>
            </w:r>
            <w:r>
              <w:rPr>
                <w:rFonts w:hint="default" w:ascii="Times New Roman" w:hAnsi="Times New Roman" w:eastAsia="宋体" w:cs="Times New Roman"/>
                <w:color w:val="4F81BD"/>
                <w:spacing w:val="15"/>
                <w:sz w:val="21"/>
                <w:szCs w:val="21"/>
                <w:lang w:eastAsia="zh-CN"/>
              </w:rPr>
              <w:t>，</w:t>
            </w:r>
            <w:r>
              <w:rPr>
                <w:rFonts w:hint="default" w:ascii="Times New Roman" w:hAnsi="Times New Roman" w:eastAsia="宋体" w:cs="Times New Roman"/>
                <w:color w:val="4F81BD"/>
                <w:spacing w:val="15"/>
                <w:sz w:val="21"/>
                <w:szCs w:val="21"/>
                <w:lang w:val="en-US" w:eastAsia="zh-CN"/>
              </w:rPr>
              <w:t>经处理后污水处理站废气氨、硫化氢、臭气浓度</w:t>
            </w:r>
            <w:r>
              <w:rPr>
                <w:rFonts w:hint="eastAsia" w:ascii="Times New Roman" w:hAnsi="Times New Roman" w:eastAsia="宋体" w:cs="Times New Roman"/>
                <w:color w:val="4F81BD"/>
                <w:spacing w:val="15"/>
                <w:sz w:val="21"/>
                <w:szCs w:val="21"/>
                <w:lang w:val="en-US" w:eastAsia="zh-CN"/>
              </w:rPr>
              <w:t>应</w:t>
            </w:r>
            <w:r>
              <w:rPr>
                <w:rFonts w:hint="default" w:ascii="Times New Roman" w:hAnsi="Times New Roman" w:eastAsia="宋体" w:cs="Times New Roman"/>
                <w:color w:val="4F81BD"/>
                <w:spacing w:val="15"/>
                <w:sz w:val="21"/>
                <w:szCs w:val="21"/>
                <w:lang w:val="en-US" w:eastAsia="zh-CN"/>
              </w:rPr>
              <w:t>满足</w:t>
            </w:r>
            <w:r>
              <w:rPr>
                <w:rFonts w:hint="default" w:ascii="Times New Roman" w:hAnsi="Times New Roman" w:eastAsia="宋体" w:cs="Times New Roman"/>
                <w:color w:val="4F81BD"/>
                <w:spacing w:val="15"/>
                <w:sz w:val="21"/>
                <w:szCs w:val="21"/>
              </w:rPr>
              <w:t>《恶臭物染污物排放标准》（GB14554-93）表2</w:t>
            </w:r>
            <w:r>
              <w:rPr>
                <w:rFonts w:hint="default" w:ascii="Times New Roman" w:hAnsi="Times New Roman" w:eastAsia="宋体" w:cs="Times New Roman"/>
                <w:color w:val="4F81BD"/>
                <w:spacing w:val="15"/>
                <w:sz w:val="21"/>
                <w:szCs w:val="21"/>
                <w:lang w:val="en-US" w:eastAsia="zh-CN"/>
              </w:rPr>
              <w:t>标准。</w:t>
            </w:r>
          </w:p>
          <w:p>
            <w:pPr>
              <w:keepNext w:val="0"/>
              <w:keepLines w:val="0"/>
              <w:widowControl/>
              <w:suppressLineNumbers w:val="0"/>
              <w:spacing w:after="0" w:afterLines="0" w:line="360" w:lineRule="auto"/>
              <w:jc w:val="left"/>
              <w:rPr>
                <w:rFonts w:hint="default" w:ascii="Times New Roman" w:hAnsi="Times New Roman" w:eastAsia="宋体" w:cs="Times New Roman"/>
                <w:color w:val="4F81BD"/>
                <w:spacing w:val="15"/>
                <w:sz w:val="21"/>
                <w:szCs w:val="21"/>
                <w:lang w:val="en-US" w:eastAsia="zh-CN"/>
              </w:rPr>
            </w:pPr>
            <w:r>
              <w:rPr>
                <w:rFonts w:hint="default" w:ascii="Times New Roman" w:hAnsi="Times New Roman" w:eastAsia="宋体" w:cs="Times New Roman"/>
                <w:color w:val="4F81BD"/>
                <w:spacing w:val="15"/>
                <w:sz w:val="21"/>
                <w:szCs w:val="21"/>
                <w:lang w:eastAsia="zh-CN"/>
              </w:rPr>
              <w:t>（</w:t>
            </w:r>
            <w:r>
              <w:rPr>
                <w:rFonts w:hint="default" w:ascii="Times New Roman" w:hAnsi="Times New Roman" w:eastAsia="宋体" w:cs="Times New Roman"/>
                <w:color w:val="4F81BD"/>
                <w:spacing w:val="15"/>
                <w:sz w:val="21"/>
                <w:szCs w:val="21"/>
                <w:lang w:val="en-US" w:eastAsia="zh-CN"/>
              </w:rPr>
              <w:t>2</w:t>
            </w:r>
            <w:r>
              <w:rPr>
                <w:rFonts w:hint="default" w:ascii="Times New Roman" w:hAnsi="Times New Roman" w:eastAsia="宋体" w:cs="Times New Roman"/>
                <w:color w:val="4F81BD"/>
                <w:spacing w:val="15"/>
                <w:sz w:val="21"/>
                <w:szCs w:val="21"/>
                <w:lang w:eastAsia="zh-CN"/>
              </w:rPr>
              <w:t>）</w:t>
            </w:r>
            <w:r>
              <w:rPr>
                <w:rFonts w:hint="default" w:ascii="Times New Roman" w:hAnsi="Times New Roman" w:eastAsia="宋体" w:cs="Times New Roman"/>
                <w:color w:val="4F81BD"/>
                <w:spacing w:val="15"/>
                <w:sz w:val="21"/>
                <w:szCs w:val="21"/>
              </w:rPr>
              <w:t>废水：脱脂槽、脱脂后水洗槽含油废水经</w:t>
            </w:r>
            <w:r>
              <w:rPr>
                <w:rFonts w:hint="eastAsia" w:ascii="Times New Roman" w:hAnsi="Times New Roman" w:eastAsia="宋体" w:cs="Times New Roman"/>
                <w:color w:val="4F81BD"/>
                <w:spacing w:val="15"/>
                <w:sz w:val="21"/>
                <w:szCs w:val="21"/>
                <w:lang w:eastAsia="zh-CN"/>
              </w:rPr>
              <w:t>“</w:t>
            </w:r>
            <w:r>
              <w:rPr>
                <w:rFonts w:hint="default" w:ascii="Times New Roman" w:hAnsi="Times New Roman" w:eastAsia="宋体" w:cs="Times New Roman"/>
                <w:color w:val="4F81BD"/>
                <w:spacing w:val="15"/>
                <w:sz w:val="21"/>
                <w:szCs w:val="21"/>
              </w:rPr>
              <w:t>隔油+破乳+气浮预处理</w:t>
            </w:r>
            <w:r>
              <w:rPr>
                <w:rFonts w:hint="eastAsia" w:ascii="Times New Roman" w:hAnsi="Times New Roman" w:eastAsia="宋体" w:cs="Times New Roman"/>
                <w:color w:val="4F81BD"/>
                <w:spacing w:val="15"/>
                <w:sz w:val="21"/>
                <w:szCs w:val="21"/>
                <w:lang w:eastAsia="zh-CN"/>
              </w:rPr>
              <w:t>”</w:t>
            </w:r>
            <w:r>
              <w:rPr>
                <w:rFonts w:hint="default" w:ascii="Times New Roman" w:hAnsi="Times New Roman" w:eastAsia="宋体" w:cs="Times New Roman"/>
                <w:color w:val="4F81BD"/>
                <w:spacing w:val="15"/>
                <w:sz w:val="21"/>
                <w:szCs w:val="21"/>
              </w:rPr>
              <w:t>预处理（处理规模为360m</w:t>
            </w:r>
            <w:r>
              <w:rPr>
                <w:rFonts w:hint="default" w:ascii="Times New Roman" w:hAnsi="Times New Roman" w:eastAsia="宋体" w:cs="Times New Roman"/>
                <w:color w:val="4F81BD"/>
                <w:spacing w:val="15"/>
                <w:sz w:val="21"/>
                <w:szCs w:val="21"/>
                <w:vertAlign w:val="superscript"/>
              </w:rPr>
              <w:t>3</w:t>
            </w:r>
            <w:r>
              <w:rPr>
                <w:rFonts w:hint="default" w:ascii="Times New Roman" w:hAnsi="Times New Roman" w:eastAsia="宋体" w:cs="Times New Roman"/>
                <w:color w:val="4F81BD"/>
                <w:spacing w:val="15"/>
                <w:sz w:val="21"/>
                <w:szCs w:val="21"/>
              </w:rPr>
              <w:t>/d），打砂后水洗槽、碱洗后水洗槽、中和后水洗槽、电解后水洗槽、T处理后水洗槽废水、碱喷淋塔废水经斜管沉淀+二级混凝沉淀预处理（处理规模为2640m</w:t>
            </w:r>
            <w:r>
              <w:rPr>
                <w:rFonts w:hint="default" w:ascii="Times New Roman" w:hAnsi="Times New Roman" w:eastAsia="宋体" w:cs="Times New Roman"/>
                <w:color w:val="4F81BD"/>
                <w:spacing w:val="15"/>
                <w:sz w:val="21"/>
                <w:szCs w:val="21"/>
                <w:vertAlign w:val="superscript"/>
              </w:rPr>
              <w:t>3</w:t>
            </w:r>
            <w:r>
              <w:rPr>
                <w:rFonts w:hint="default" w:ascii="Times New Roman" w:hAnsi="Times New Roman" w:eastAsia="宋体" w:cs="Times New Roman"/>
                <w:color w:val="4F81BD"/>
                <w:spacing w:val="15"/>
                <w:sz w:val="21"/>
                <w:szCs w:val="21"/>
              </w:rPr>
              <w:t>/d），之后进入</w:t>
            </w:r>
            <w:r>
              <w:rPr>
                <w:rFonts w:hint="eastAsia" w:ascii="Times New Roman" w:hAnsi="Times New Roman" w:eastAsia="宋体" w:cs="Times New Roman"/>
                <w:color w:val="4F81BD"/>
                <w:spacing w:val="15"/>
                <w:sz w:val="21"/>
                <w:szCs w:val="21"/>
                <w:lang w:eastAsia="zh-CN"/>
              </w:rPr>
              <w:t>“</w:t>
            </w:r>
            <w:r>
              <w:rPr>
                <w:rFonts w:hint="default" w:ascii="Times New Roman" w:hAnsi="Times New Roman" w:eastAsia="宋体" w:cs="Times New Roman"/>
                <w:color w:val="4F81BD"/>
                <w:spacing w:val="15"/>
                <w:sz w:val="21"/>
                <w:szCs w:val="21"/>
              </w:rPr>
              <w:t>混凝沉淀+水解酸化+接触氧化+沉淀</w:t>
            </w:r>
            <w:r>
              <w:rPr>
                <w:rFonts w:hint="eastAsia" w:ascii="Times New Roman" w:hAnsi="Times New Roman" w:eastAsia="宋体" w:cs="Times New Roman"/>
                <w:color w:val="4F81BD"/>
                <w:spacing w:val="15"/>
                <w:sz w:val="21"/>
                <w:szCs w:val="21"/>
                <w:lang w:eastAsia="zh-CN"/>
              </w:rPr>
              <w:t>”</w:t>
            </w:r>
            <w:r>
              <w:rPr>
                <w:rFonts w:hint="default" w:ascii="Times New Roman" w:hAnsi="Times New Roman" w:eastAsia="宋体" w:cs="Times New Roman"/>
                <w:color w:val="4F81BD"/>
                <w:spacing w:val="15"/>
                <w:sz w:val="21"/>
                <w:szCs w:val="21"/>
              </w:rPr>
              <w:t>，处理规模为4300m</w:t>
            </w:r>
            <w:r>
              <w:rPr>
                <w:rFonts w:hint="default" w:ascii="Times New Roman" w:hAnsi="Times New Roman" w:eastAsia="宋体" w:cs="Times New Roman"/>
                <w:color w:val="4F81BD"/>
                <w:spacing w:val="15"/>
                <w:sz w:val="21"/>
                <w:szCs w:val="21"/>
                <w:vertAlign w:val="superscript"/>
              </w:rPr>
              <w:t>3</w:t>
            </w:r>
            <w:r>
              <w:rPr>
                <w:rFonts w:hint="default" w:ascii="Times New Roman" w:hAnsi="Times New Roman" w:eastAsia="宋体" w:cs="Times New Roman"/>
                <w:color w:val="4F81BD"/>
                <w:spacing w:val="15"/>
                <w:sz w:val="21"/>
                <w:szCs w:val="21"/>
              </w:rPr>
              <w:t>/d，由废水总排口排入市政管网。废水满足《污水综合排放标准》（GB8978-1996）中表4三级标准、西华县经开区污水处理厂进水水质要求。</w:t>
            </w:r>
          </w:p>
          <w:p>
            <w:pPr>
              <w:keepNext w:val="0"/>
              <w:keepLines w:val="0"/>
              <w:widowControl/>
              <w:suppressLineNumbers w:val="0"/>
              <w:spacing w:after="0" w:afterLines="0" w:line="360" w:lineRule="auto"/>
              <w:jc w:val="left"/>
              <w:rPr>
                <w:rFonts w:hint="default" w:ascii="Times New Roman" w:hAnsi="Times New Roman" w:eastAsia="宋体" w:cs="Times New Roman"/>
                <w:color w:val="4F81BD"/>
                <w:spacing w:val="15"/>
                <w:sz w:val="21"/>
                <w:szCs w:val="21"/>
                <w:lang w:val="en-US" w:eastAsia="zh-Hans"/>
              </w:rPr>
            </w:pPr>
            <w:r>
              <w:rPr>
                <w:rFonts w:hint="default" w:ascii="Times New Roman" w:hAnsi="Times New Roman" w:eastAsia="宋体" w:cs="Times New Roman"/>
                <w:color w:val="4F81BD"/>
                <w:spacing w:val="15"/>
                <w:sz w:val="21"/>
                <w:szCs w:val="21"/>
                <w:lang w:val="en-US" w:eastAsia="zh-CN"/>
              </w:rPr>
              <w:t>（3）</w:t>
            </w:r>
            <w:r>
              <w:rPr>
                <w:rFonts w:hint="default" w:ascii="Times New Roman" w:hAnsi="Times New Roman" w:eastAsia="宋体" w:cs="Times New Roman"/>
                <w:color w:val="4F81BD"/>
                <w:spacing w:val="15"/>
                <w:sz w:val="21"/>
                <w:szCs w:val="21"/>
                <w:lang w:val="en-US" w:eastAsia="zh-Hans"/>
              </w:rPr>
              <w:t>固废：危险废物：打砂槽液、废碱槽液、废磷酸槽液、废剥黑剂、废UV灯管、废活性炭、废空容器、除油污油、废过滤介质等，本次项目危废经收集后危废贮存间暂存后定期委托有资质的单位安全处理，</w:t>
            </w:r>
            <w:r>
              <w:rPr>
                <w:rFonts w:hint="eastAsia" w:ascii="Times New Roman" w:hAnsi="Times New Roman" w:eastAsia="宋体" w:cs="Times New Roman"/>
                <w:color w:val="4F81BD"/>
                <w:spacing w:val="15"/>
                <w:sz w:val="21"/>
                <w:szCs w:val="21"/>
                <w:lang w:val="en-US" w:eastAsia="zh-CN"/>
              </w:rPr>
              <w:t>应</w:t>
            </w:r>
            <w:r>
              <w:rPr>
                <w:rFonts w:hint="default" w:ascii="Times New Roman" w:hAnsi="Times New Roman" w:eastAsia="宋体" w:cs="Times New Roman"/>
                <w:color w:val="4F81BD"/>
                <w:spacing w:val="15"/>
                <w:sz w:val="21"/>
                <w:szCs w:val="21"/>
                <w:lang w:val="en-US" w:eastAsia="zh-Hans"/>
              </w:rPr>
              <w:t>满足《危险废物贮存污染控制标准》（GB18597-2023）要求；污水处理站污泥交由有污泥处置资质单位清运处理，</w:t>
            </w:r>
            <w:r>
              <w:rPr>
                <w:rFonts w:hint="eastAsia" w:ascii="Times New Roman" w:hAnsi="Times New Roman" w:eastAsia="宋体" w:cs="Times New Roman"/>
                <w:color w:val="4F81BD"/>
                <w:spacing w:val="15"/>
                <w:sz w:val="21"/>
                <w:szCs w:val="21"/>
                <w:lang w:val="en-US" w:eastAsia="zh-CN"/>
              </w:rPr>
              <w:t>应</w:t>
            </w:r>
            <w:r>
              <w:rPr>
                <w:rFonts w:hint="default" w:ascii="Times New Roman" w:hAnsi="Times New Roman" w:eastAsia="宋体" w:cs="Times New Roman"/>
                <w:color w:val="4F81BD"/>
                <w:spacing w:val="15"/>
                <w:sz w:val="21"/>
                <w:szCs w:val="21"/>
                <w:lang w:val="en-US" w:eastAsia="zh-Hans"/>
              </w:rPr>
              <w:t>满足《一般工业固体废物贮存和填埋污染控制标准》（GB18599-2020）要求</w:t>
            </w:r>
            <w:r>
              <w:rPr>
                <w:rFonts w:hint="default" w:ascii="Times New Roman" w:hAnsi="Times New Roman" w:eastAsia="宋体" w:cs="Times New Roman"/>
                <w:color w:val="4F81BD"/>
                <w:spacing w:val="15"/>
                <w:sz w:val="21"/>
                <w:szCs w:val="21"/>
                <w:lang w:val="en-US" w:eastAsia="zh-CN"/>
              </w:rPr>
              <w:t>。</w:t>
            </w:r>
          </w:p>
          <w:p>
            <w:pPr>
              <w:widowControl/>
              <w:spacing w:line="360" w:lineRule="auto"/>
              <w:jc w:val="left"/>
              <w:rPr>
                <w:rFonts w:ascii="Times New Roman" w:hAnsi="Times New Roman" w:eastAsia="宋体" w:cs="Times New Roman"/>
                <w:color w:val="0070C0"/>
                <w:spacing w:val="15"/>
                <w:szCs w:val="21"/>
              </w:rPr>
            </w:pPr>
            <w:r>
              <w:rPr>
                <w:rFonts w:hint="default" w:ascii="Times New Roman" w:hAnsi="Times New Roman" w:eastAsia="宋体" w:cs="Times New Roman"/>
                <w:color w:val="4F81BD"/>
                <w:spacing w:val="15"/>
                <w:sz w:val="21"/>
                <w:szCs w:val="21"/>
                <w:lang w:val="en-US" w:eastAsia="zh-Hans"/>
              </w:rPr>
              <w:t>（4）</w:t>
            </w:r>
            <w:r>
              <w:rPr>
                <w:rFonts w:hint="default" w:ascii="Times New Roman" w:hAnsi="Times New Roman" w:eastAsia="宋体" w:cs="Times New Roman"/>
                <w:color w:val="4F81BD"/>
                <w:spacing w:val="15"/>
                <w:sz w:val="21"/>
                <w:szCs w:val="21"/>
                <w:lang w:val="en-US" w:eastAsia="zh-CN"/>
              </w:rPr>
              <w:t>噪声：本项目运营期间噪声经采取选用低噪声设备、基础减振、厂房隔声等措施后，厂界昼间噪声满足《工业企业厂界环境噪声排放标准》（GB12348-2008）</w:t>
            </w:r>
            <w:r>
              <w:rPr>
                <w:rFonts w:hint="eastAsia" w:ascii="Times New Roman" w:hAnsi="Times New Roman" w:eastAsia="宋体" w:cs="Times New Roman"/>
                <w:color w:val="4F81BD"/>
                <w:spacing w:val="15"/>
                <w:sz w:val="21"/>
                <w:szCs w:val="21"/>
                <w:lang w:val="en-US" w:eastAsia="zh-CN"/>
              </w:rPr>
              <w:t>3</w:t>
            </w:r>
            <w:r>
              <w:rPr>
                <w:rFonts w:hint="default" w:ascii="Times New Roman" w:hAnsi="Times New Roman" w:eastAsia="宋体" w:cs="Times New Roman"/>
                <w:color w:val="4F81BD"/>
                <w:spacing w:val="15"/>
                <w:sz w:val="21"/>
                <w:szCs w:val="21"/>
                <w:lang w:val="en-US" w:eastAsia="zh-CN"/>
              </w:rPr>
              <w:t>类标准要求。</w:t>
            </w:r>
          </w:p>
        </w:tc>
        <w:tc>
          <w:tcPr>
            <w:tcW w:w="1327" w:type="dxa"/>
            <w:shd w:val="clear" w:color="auto" w:fill="auto"/>
            <w:tcMar>
              <w:top w:w="0" w:type="dxa"/>
              <w:left w:w="108" w:type="dxa"/>
              <w:bottom w:w="0" w:type="dxa"/>
              <w:right w:w="108" w:type="dxa"/>
            </w:tcMar>
            <w:vAlign w:val="center"/>
          </w:tcPr>
          <w:p>
            <w:pPr>
              <w:widowControl/>
              <w:shd w:val="clear" w:color="auto" w:fill="FFFFFF"/>
              <w:rPr>
                <w:color w:val="4F81BD"/>
                <w:spacing w:val="15"/>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97" w:hRule="atLeast"/>
          <w:jc w:val="center"/>
        </w:trPr>
        <w:tc>
          <w:tcPr>
            <w:tcW w:w="756" w:type="dxa"/>
            <w:shd w:val="clear" w:color="auto" w:fill="auto"/>
            <w:tcMar>
              <w:top w:w="0" w:type="dxa"/>
              <w:left w:w="108" w:type="dxa"/>
              <w:bottom w:w="0" w:type="dxa"/>
              <w:right w:w="108" w:type="dxa"/>
            </w:tcMar>
            <w:vAlign w:val="center"/>
          </w:tcPr>
          <w:p>
            <w:pPr>
              <w:widowControl/>
              <w:spacing w:line="360" w:lineRule="auto"/>
              <w:ind w:firstLine="480" w:firstLineChars="200"/>
              <w:jc w:val="left"/>
              <w:rPr>
                <w:rFonts w:hint="eastAsia" w:ascii="Times New Roman" w:hAnsi="Times New Roman" w:eastAsia="宋体" w:cs="Times New Roman"/>
                <w:color w:val="0070C0"/>
                <w:spacing w:val="15"/>
                <w:szCs w:val="21"/>
                <w:lang w:eastAsia="zh-CN"/>
              </w:rPr>
            </w:pPr>
            <w:r>
              <w:rPr>
                <w:rFonts w:hint="eastAsia" w:cs="Times New Roman"/>
                <w:color w:val="0070C0"/>
                <w:spacing w:val="15"/>
                <w:szCs w:val="21"/>
                <w:lang w:val="en-US" w:eastAsia="zh-CN"/>
              </w:rPr>
              <w:t>2</w:t>
            </w:r>
          </w:p>
        </w:tc>
        <w:tc>
          <w:tcPr>
            <w:tcW w:w="1245" w:type="dxa"/>
            <w:shd w:val="clear" w:color="auto" w:fill="auto"/>
            <w:tcMar>
              <w:top w:w="0" w:type="dxa"/>
              <w:left w:w="108" w:type="dxa"/>
              <w:bottom w:w="0" w:type="dxa"/>
              <w:right w:w="108" w:type="dxa"/>
            </w:tcMar>
            <w:vAlign w:val="center"/>
          </w:tcPr>
          <w:p>
            <w:pPr>
              <w:widowControl/>
              <w:spacing w:line="360" w:lineRule="auto"/>
              <w:jc w:val="left"/>
              <w:rPr>
                <w:rFonts w:ascii="Times New Roman" w:hAnsi="Times New Roman" w:eastAsia="宋体" w:cs="Times New Roman"/>
                <w:color w:val="0070C0"/>
                <w:spacing w:val="15"/>
                <w:szCs w:val="21"/>
              </w:rPr>
            </w:pPr>
            <w:r>
              <w:rPr>
                <w:rFonts w:ascii="Times New Roman" w:hAnsi="Times New Roman" w:eastAsia="宋体" w:cs="Times New Roman"/>
                <w:color w:val="0070C0"/>
                <w:spacing w:val="15"/>
                <w:szCs w:val="21"/>
              </w:rPr>
              <w:t>天然气热风炉扩建工程建设项目</w:t>
            </w:r>
          </w:p>
        </w:tc>
        <w:tc>
          <w:tcPr>
            <w:tcW w:w="1260" w:type="dxa"/>
            <w:shd w:val="clear" w:color="auto" w:fill="auto"/>
            <w:tcMar>
              <w:top w:w="0" w:type="dxa"/>
              <w:left w:w="108" w:type="dxa"/>
              <w:bottom w:w="0" w:type="dxa"/>
              <w:right w:w="108" w:type="dxa"/>
            </w:tcMar>
            <w:vAlign w:val="center"/>
          </w:tcPr>
          <w:p>
            <w:pPr>
              <w:widowControl/>
              <w:spacing w:line="360" w:lineRule="auto"/>
              <w:jc w:val="left"/>
              <w:rPr>
                <w:rFonts w:ascii="Times New Roman" w:hAnsi="Times New Roman" w:eastAsia="宋体" w:cs="Times New Roman"/>
                <w:color w:val="0070C0"/>
                <w:spacing w:val="15"/>
                <w:szCs w:val="21"/>
              </w:rPr>
            </w:pPr>
            <w:bookmarkStart w:id="0" w:name="_Hlk171665353"/>
            <w:r>
              <w:rPr>
                <w:rFonts w:hint="eastAsia" w:ascii="Times New Roman" w:hAnsi="Times New Roman" w:eastAsia="宋体" w:cs="Times New Roman"/>
                <w:color w:val="0070C0"/>
                <w:spacing w:val="15"/>
                <w:szCs w:val="21"/>
              </w:rPr>
              <w:t>河南省周口市西华县</w:t>
            </w:r>
            <w:bookmarkStart w:id="1" w:name="OLE_LINK1"/>
            <w:r>
              <w:rPr>
                <w:rFonts w:hint="eastAsia" w:ascii="Times New Roman" w:hAnsi="Times New Roman" w:eastAsia="宋体" w:cs="Times New Roman"/>
                <w:color w:val="0070C0"/>
                <w:spacing w:val="15"/>
                <w:szCs w:val="21"/>
              </w:rPr>
              <w:t>工业园区奉母路228号</w:t>
            </w:r>
            <w:bookmarkEnd w:id="0"/>
            <w:bookmarkEnd w:id="1"/>
          </w:p>
        </w:tc>
        <w:tc>
          <w:tcPr>
            <w:tcW w:w="917" w:type="dxa"/>
            <w:shd w:val="clear" w:color="auto" w:fill="auto"/>
            <w:tcMar>
              <w:top w:w="0" w:type="dxa"/>
              <w:left w:w="108" w:type="dxa"/>
              <w:bottom w:w="0" w:type="dxa"/>
              <w:right w:w="108" w:type="dxa"/>
            </w:tcMar>
            <w:vAlign w:val="center"/>
          </w:tcPr>
          <w:p>
            <w:pPr>
              <w:widowControl/>
              <w:spacing w:line="360" w:lineRule="auto"/>
              <w:jc w:val="left"/>
              <w:rPr>
                <w:rFonts w:ascii="Times New Roman" w:hAnsi="Times New Roman" w:eastAsia="宋体" w:cs="Times New Roman"/>
                <w:color w:val="0070C0"/>
                <w:spacing w:val="15"/>
                <w:szCs w:val="21"/>
              </w:rPr>
            </w:pPr>
            <w:r>
              <w:rPr>
                <w:rFonts w:ascii="Times New Roman" w:hAnsi="Times New Roman" w:eastAsia="宋体" w:cs="Times New Roman"/>
                <w:color w:val="0070C0"/>
                <w:spacing w:val="15"/>
                <w:szCs w:val="21"/>
              </w:rPr>
              <w:t>河南鑫之泉新能源科技有限公司</w:t>
            </w:r>
          </w:p>
        </w:tc>
        <w:tc>
          <w:tcPr>
            <w:tcW w:w="1245" w:type="dxa"/>
            <w:shd w:val="clear" w:color="auto" w:fill="auto"/>
            <w:tcMar>
              <w:top w:w="0" w:type="dxa"/>
              <w:left w:w="108" w:type="dxa"/>
              <w:bottom w:w="0" w:type="dxa"/>
              <w:right w:w="108" w:type="dxa"/>
            </w:tcMar>
            <w:vAlign w:val="center"/>
          </w:tcPr>
          <w:p>
            <w:pPr>
              <w:widowControl/>
              <w:spacing w:line="360" w:lineRule="auto"/>
              <w:jc w:val="left"/>
              <w:rPr>
                <w:rFonts w:ascii="Times New Roman" w:hAnsi="Times New Roman" w:eastAsia="宋体" w:cs="Times New Roman"/>
                <w:color w:val="0070C0"/>
                <w:spacing w:val="15"/>
                <w:szCs w:val="21"/>
              </w:rPr>
            </w:pPr>
            <w:r>
              <w:rPr>
                <w:rFonts w:hint="eastAsia" w:ascii="Times New Roman" w:hAnsi="Times New Roman" w:eastAsia="宋体" w:cs="Times New Roman"/>
                <w:color w:val="0070C0"/>
                <w:spacing w:val="15"/>
                <w:szCs w:val="21"/>
              </w:rPr>
              <w:t>河南乐骏环保科技有限公司</w:t>
            </w:r>
          </w:p>
        </w:tc>
        <w:tc>
          <w:tcPr>
            <w:tcW w:w="1905" w:type="dxa"/>
            <w:shd w:val="clear" w:color="auto" w:fill="auto"/>
            <w:tcMar>
              <w:top w:w="0" w:type="dxa"/>
              <w:left w:w="108" w:type="dxa"/>
              <w:bottom w:w="0" w:type="dxa"/>
              <w:right w:w="108" w:type="dxa"/>
            </w:tcMar>
            <w:vAlign w:val="center"/>
          </w:tcPr>
          <w:p>
            <w:pPr>
              <w:widowControl/>
              <w:spacing w:line="360" w:lineRule="auto"/>
              <w:ind w:firstLine="480" w:firstLineChars="200"/>
              <w:jc w:val="left"/>
              <w:rPr>
                <w:rFonts w:ascii="Times New Roman" w:hAnsi="Times New Roman" w:eastAsia="宋体" w:cs="Times New Roman"/>
                <w:color w:val="0070C0"/>
                <w:spacing w:val="15"/>
                <w:szCs w:val="21"/>
              </w:rPr>
            </w:pPr>
            <w:r>
              <w:rPr>
                <w:rFonts w:hint="eastAsia" w:ascii="Times New Roman" w:hAnsi="Times New Roman" w:eastAsia="宋体" w:cs="Times New Roman"/>
                <w:color w:val="0070C0"/>
                <w:spacing w:val="15"/>
                <w:szCs w:val="21"/>
              </w:rPr>
              <w:t>本次工程为扩建，项目地址位于河南省周口市西华县工业园区奉母路228号总投资50万元，环保投资21万元。工艺流程为天然气（市政管网）→天然气热风炉→生产车间等环节，设备主要有热风炉、风机、引风机</w:t>
            </w:r>
          </w:p>
          <w:p>
            <w:pPr>
              <w:widowControl/>
              <w:spacing w:line="360" w:lineRule="auto"/>
              <w:ind w:firstLine="480" w:firstLineChars="200"/>
              <w:jc w:val="left"/>
              <w:rPr>
                <w:rFonts w:ascii="Times New Roman" w:hAnsi="Times New Roman" w:eastAsia="宋体" w:cs="Times New Roman"/>
                <w:color w:val="0070C0"/>
                <w:spacing w:val="15"/>
                <w:szCs w:val="21"/>
              </w:rPr>
            </w:pPr>
            <w:r>
              <w:rPr>
                <w:rFonts w:hint="eastAsia" w:ascii="Times New Roman" w:hAnsi="Times New Roman" w:eastAsia="宋体" w:cs="Times New Roman"/>
                <w:color w:val="0070C0"/>
                <w:spacing w:val="15"/>
                <w:szCs w:val="21"/>
              </w:rPr>
              <w:t>等</w:t>
            </w:r>
          </w:p>
        </w:tc>
        <w:tc>
          <w:tcPr>
            <w:tcW w:w="5445" w:type="dxa"/>
            <w:shd w:val="clear" w:color="auto" w:fill="auto"/>
            <w:tcMar>
              <w:top w:w="0" w:type="dxa"/>
              <w:left w:w="108" w:type="dxa"/>
              <w:bottom w:w="0" w:type="dxa"/>
              <w:right w:w="108" w:type="dxa"/>
            </w:tcMar>
            <w:vAlign w:val="center"/>
          </w:tcPr>
          <w:p>
            <w:pPr>
              <w:widowControl/>
              <w:spacing w:line="360" w:lineRule="auto"/>
              <w:jc w:val="left"/>
              <w:rPr>
                <w:rFonts w:ascii="Times New Roman" w:hAnsi="Times New Roman" w:eastAsia="宋体" w:cs="Times New Roman"/>
                <w:color w:val="0070C0"/>
                <w:spacing w:val="15"/>
                <w:szCs w:val="21"/>
              </w:rPr>
            </w:pPr>
            <w:r>
              <w:rPr>
                <w:rFonts w:hint="eastAsia" w:ascii="Times New Roman" w:hAnsi="Times New Roman" w:eastAsia="宋体" w:cs="Times New Roman"/>
                <w:color w:val="0070C0"/>
                <w:spacing w:val="15"/>
                <w:szCs w:val="21"/>
                <w:lang w:val="en-US" w:eastAsia="zh-CN"/>
              </w:rPr>
              <w:t>1、</w:t>
            </w:r>
            <w:r>
              <w:rPr>
                <w:rFonts w:hint="eastAsia" w:ascii="Times New Roman" w:hAnsi="Times New Roman" w:eastAsia="宋体" w:cs="Times New Roman"/>
                <w:color w:val="0070C0"/>
                <w:spacing w:val="15"/>
                <w:szCs w:val="21"/>
              </w:rPr>
              <w:t>废气。喷漆烘干室天然气燃烧废气经低氮燃烧器燃烧后经15m排气筒排放，</w:t>
            </w:r>
            <w:r>
              <w:rPr>
                <w:rFonts w:hint="eastAsia" w:cs="Times New Roman"/>
                <w:color w:val="0070C0"/>
                <w:spacing w:val="15"/>
                <w:szCs w:val="21"/>
                <w:lang w:val="en-US" w:eastAsia="zh-CN"/>
              </w:rPr>
              <w:t>应</w:t>
            </w:r>
            <w:r>
              <w:rPr>
                <w:rFonts w:hint="eastAsia" w:ascii="Times New Roman" w:hAnsi="Times New Roman" w:eastAsia="宋体" w:cs="Times New Roman"/>
                <w:color w:val="0070C0"/>
                <w:spacing w:val="15"/>
                <w:szCs w:val="21"/>
              </w:rPr>
              <w:t xml:space="preserve">满足DB41/1066-2020 </w:t>
            </w:r>
            <w:r>
              <w:rPr>
                <w:rFonts w:ascii="Times New Roman" w:hAnsi="Times New Roman" w:eastAsia="宋体" w:cs="Times New Roman"/>
                <w:color w:val="0070C0"/>
                <w:spacing w:val="15"/>
                <w:szCs w:val="21"/>
              </w:rPr>
              <w:t>《</w:t>
            </w:r>
            <w:r>
              <w:rPr>
                <w:rFonts w:hint="eastAsia" w:ascii="Times New Roman" w:hAnsi="Times New Roman" w:eastAsia="宋体" w:cs="Times New Roman"/>
                <w:color w:val="0070C0"/>
                <w:spacing w:val="15"/>
                <w:szCs w:val="21"/>
              </w:rPr>
              <w:t>工业炉窑</w:t>
            </w:r>
            <w:r>
              <w:rPr>
                <w:rFonts w:ascii="Times New Roman" w:hAnsi="Times New Roman" w:eastAsia="宋体" w:cs="Times New Roman"/>
                <w:color w:val="0070C0"/>
                <w:spacing w:val="15"/>
                <w:szCs w:val="21"/>
              </w:rPr>
              <w:t>大气污染物排放标准》燃气标准</w:t>
            </w:r>
            <w:r>
              <w:rPr>
                <w:rFonts w:hint="eastAsia" w:cs="Times New Roman"/>
                <w:color w:val="0070C0"/>
                <w:spacing w:val="15"/>
                <w:szCs w:val="21"/>
                <w:lang w:val="en-US" w:eastAsia="zh-CN"/>
              </w:rPr>
              <w:t>及</w:t>
            </w:r>
            <w:r>
              <w:rPr>
                <w:rFonts w:ascii="Times New Roman" w:hAnsi="Times New Roman" w:eastAsia="宋体" w:cs="Times New Roman"/>
                <w:color w:val="0070C0"/>
                <w:spacing w:val="15"/>
                <w:szCs w:val="21"/>
              </w:rPr>
              <w:t>《河南省重污染天气通用行业应急减排措施制定技术指南》（2021年修订版）</w:t>
            </w:r>
            <w:r>
              <w:rPr>
                <w:rFonts w:hint="eastAsia" w:ascii="Times New Roman" w:hAnsi="Times New Roman" w:eastAsia="宋体" w:cs="Times New Roman"/>
                <w:color w:val="0070C0"/>
                <w:spacing w:val="15"/>
                <w:szCs w:val="21"/>
              </w:rPr>
              <w:t>相关</w:t>
            </w:r>
            <w:r>
              <w:rPr>
                <w:rFonts w:ascii="Times New Roman" w:hAnsi="Times New Roman" w:eastAsia="宋体" w:cs="Times New Roman"/>
                <w:color w:val="0070C0"/>
                <w:spacing w:val="15"/>
                <w:szCs w:val="21"/>
              </w:rPr>
              <w:t>要求</w:t>
            </w:r>
            <w:r>
              <w:rPr>
                <w:rFonts w:hint="eastAsia" w:ascii="Times New Roman" w:hAnsi="Times New Roman" w:eastAsia="宋体" w:cs="Times New Roman"/>
                <w:color w:val="0070C0"/>
                <w:spacing w:val="15"/>
                <w:szCs w:val="21"/>
              </w:rPr>
              <w:t>；电泳烘干室天然气燃烧废气经低氮燃烧器后和电泳烘干废气一起进入+UV光解+活性炭+15m排气筒排放，</w:t>
            </w:r>
            <w:r>
              <w:rPr>
                <w:rFonts w:hint="eastAsia" w:cs="Times New Roman"/>
                <w:color w:val="0070C0"/>
                <w:spacing w:val="15"/>
                <w:szCs w:val="21"/>
                <w:lang w:val="en-US" w:eastAsia="zh-CN"/>
              </w:rPr>
              <w:t>应</w:t>
            </w:r>
            <w:r>
              <w:rPr>
                <w:rFonts w:hint="eastAsia" w:ascii="Times New Roman" w:hAnsi="Times New Roman" w:eastAsia="宋体" w:cs="Times New Roman"/>
                <w:color w:val="0070C0"/>
                <w:spacing w:val="15"/>
                <w:szCs w:val="21"/>
              </w:rPr>
              <w:t xml:space="preserve">满足DB41/1066-2020 </w:t>
            </w:r>
            <w:r>
              <w:rPr>
                <w:rFonts w:ascii="Times New Roman" w:hAnsi="Times New Roman" w:eastAsia="宋体" w:cs="Times New Roman"/>
                <w:color w:val="0070C0"/>
                <w:spacing w:val="15"/>
                <w:szCs w:val="21"/>
              </w:rPr>
              <w:t>《</w:t>
            </w:r>
            <w:r>
              <w:rPr>
                <w:rFonts w:hint="eastAsia" w:ascii="Times New Roman" w:hAnsi="Times New Roman" w:eastAsia="宋体" w:cs="Times New Roman"/>
                <w:color w:val="0070C0"/>
                <w:spacing w:val="15"/>
                <w:szCs w:val="21"/>
              </w:rPr>
              <w:t>工业炉窑</w:t>
            </w:r>
            <w:r>
              <w:rPr>
                <w:rFonts w:ascii="Times New Roman" w:hAnsi="Times New Roman" w:eastAsia="宋体" w:cs="Times New Roman"/>
                <w:color w:val="0070C0"/>
                <w:spacing w:val="15"/>
                <w:szCs w:val="21"/>
              </w:rPr>
              <w:t>大气污染物排放标准》燃气标准</w:t>
            </w:r>
            <w:r>
              <w:rPr>
                <w:rFonts w:hint="eastAsia" w:cs="Times New Roman"/>
                <w:color w:val="0070C0"/>
                <w:spacing w:val="15"/>
                <w:szCs w:val="21"/>
                <w:lang w:val="en-US" w:eastAsia="zh-CN"/>
              </w:rPr>
              <w:t>及</w:t>
            </w:r>
            <w:r>
              <w:rPr>
                <w:rFonts w:ascii="Times New Roman" w:hAnsi="Times New Roman" w:eastAsia="宋体" w:cs="Times New Roman"/>
                <w:color w:val="0070C0"/>
                <w:spacing w:val="15"/>
                <w:szCs w:val="21"/>
              </w:rPr>
              <w:t>《河南省重污染天气通用行业应急减排措施制定技术指南》（2021年修订版）</w:t>
            </w:r>
            <w:r>
              <w:rPr>
                <w:rFonts w:hint="eastAsia" w:ascii="Times New Roman" w:hAnsi="Times New Roman" w:eastAsia="宋体" w:cs="Times New Roman"/>
                <w:color w:val="0070C0"/>
                <w:spacing w:val="15"/>
                <w:szCs w:val="21"/>
              </w:rPr>
              <w:t>相关</w:t>
            </w:r>
            <w:r>
              <w:rPr>
                <w:rFonts w:ascii="Times New Roman" w:hAnsi="Times New Roman" w:eastAsia="宋体" w:cs="Times New Roman"/>
                <w:color w:val="0070C0"/>
                <w:spacing w:val="15"/>
                <w:szCs w:val="21"/>
              </w:rPr>
              <w:t>要求</w:t>
            </w:r>
            <w:r>
              <w:rPr>
                <w:rFonts w:hint="eastAsia" w:ascii="Times New Roman" w:hAnsi="Times New Roman" w:eastAsia="宋体" w:cs="Times New Roman"/>
                <w:color w:val="0070C0"/>
                <w:spacing w:val="15"/>
                <w:szCs w:val="21"/>
              </w:rPr>
              <w:t>。</w:t>
            </w:r>
          </w:p>
          <w:p>
            <w:pPr>
              <w:widowControl/>
              <w:spacing w:line="360" w:lineRule="auto"/>
              <w:jc w:val="left"/>
              <w:rPr>
                <w:rFonts w:ascii="Times New Roman" w:hAnsi="Times New Roman" w:eastAsia="宋体" w:cs="Times New Roman"/>
                <w:color w:val="0070C0"/>
                <w:spacing w:val="15"/>
                <w:szCs w:val="21"/>
              </w:rPr>
            </w:pPr>
            <w:r>
              <w:rPr>
                <w:rFonts w:hint="eastAsia" w:ascii="Times New Roman" w:hAnsi="Times New Roman" w:eastAsia="宋体" w:cs="Times New Roman"/>
                <w:color w:val="0070C0"/>
                <w:spacing w:val="15"/>
                <w:szCs w:val="21"/>
              </w:rPr>
              <w:t>2、废水。本次工程不新增废水。</w:t>
            </w:r>
          </w:p>
          <w:p>
            <w:pPr>
              <w:widowControl/>
              <w:spacing w:line="360" w:lineRule="auto"/>
              <w:jc w:val="left"/>
              <w:rPr>
                <w:rFonts w:ascii="Times New Roman" w:hAnsi="Times New Roman" w:eastAsia="宋体" w:cs="Times New Roman"/>
                <w:color w:val="0070C0"/>
                <w:spacing w:val="15"/>
                <w:szCs w:val="21"/>
              </w:rPr>
            </w:pPr>
            <w:r>
              <w:rPr>
                <w:rFonts w:hint="eastAsia" w:ascii="Times New Roman" w:hAnsi="Times New Roman" w:eastAsia="宋体" w:cs="Times New Roman"/>
                <w:color w:val="0070C0"/>
                <w:spacing w:val="15"/>
                <w:szCs w:val="21"/>
              </w:rPr>
              <w:t>3、噪声。项目营运期生产机械采用合理布置、基础减震、隔音等措施。</w:t>
            </w:r>
            <w:r>
              <w:rPr>
                <w:rFonts w:ascii="Times New Roman" w:hAnsi="Times New Roman" w:eastAsia="宋体" w:cs="Times New Roman"/>
                <w:color w:val="0070C0"/>
                <w:spacing w:val="15"/>
                <w:szCs w:val="21"/>
              </w:rPr>
              <w:t>四周厂界噪声</w:t>
            </w:r>
            <w:r>
              <w:rPr>
                <w:rFonts w:hint="eastAsia" w:cs="Times New Roman"/>
                <w:color w:val="0070C0"/>
                <w:spacing w:val="15"/>
                <w:szCs w:val="21"/>
                <w:lang w:val="en-US" w:eastAsia="zh-CN"/>
              </w:rPr>
              <w:t>应</w:t>
            </w:r>
            <w:r>
              <w:rPr>
                <w:rFonts w:ascii="Times New Roman" w:hAnsi="Times New Roman" w:eastAsia="宋体" w:cs="Times New Roman"/>
                <w:color w:val="0070C0"/>
                <w:spacing w:val="15"/>
                <w:szCs w:val="21"/>
              </w:rPr>
              <w:t>满足GB12348-2008《工业企业厂界环境噪声排放标准》</w:t>
            </w:r>
            <w:r>
              <w:rPr>
                <w:rFonts w:hint="eastAsia" w:ascii="Times New Roman" w:hAnsi="Times New Roman" w:eastAsia="宋体" w:cs="Times New Roman"/>
                <w:color w:val="0070C0"/>
                <w:spacing w:val="15"/>
                <w:szCs w:val="21"/>
              </w:rPr>
              <w:t>2</w:t>
            </w:r>
            <w:r>
              <w:rPr>
                <w:rFonts w:ascii="Times New Roman" w:hAnsi="Times New Roman" w:eastAsia="宋体" w:cs="Times New Roman"/>
                <w:color w:val="0070C0"/>
                <w:spacing w:val="15"/>
                <w:szCs w:val="21"/>
              </w:rPr>
              <w:t>类标准</w:t>
            </w:r>
            <w:r>
              <w:rPr>
                <w:rFonts w:hint="eastAsia" w:ascii="Times New Roman" w:hAnsi="Times New Roman" w:eastAsia="宋体" w:cs="Times New Roman"/>
                <w:color w:val="0070C0"/>
                <w:spacing w:val="15"/>
                <w:szCs w:val="21"/>
              </w:rPr>
              <w:t>，敏感点</w:t>
            </w:r>
            <w:r>
              <w:rPr>
                <w:rFonts w:ascii="Times New Roman" w:hAnsi="Times New Roman" w:eastAsia="宋体" w:cs="Times New Roman"/>
                <w:color w:val="0070C0"/>
                <w:spacing w:val="15"/>
                <w:szCs w:val="21"/>
              </w:rPr>
              <w:t>噪声</w:t>
            </w:r>
            <w:r>
              <w:rPr>
                <w:rFonts w:hint="eastAsia" w:cs="Times New Roman"/>
                <w:color w:val="0070C0"/>
                <w:spacing w:val="15"/>
                <w:szCs w:val="21"/>
                <w:lang w:val="en-US" w:eastAsia="zh-CN"/>
              </w:rPr>
              <w:t>应</w:t>
            </w:r>
            <w:r>
              <w:rPr>
                <w:rFonts w:ascii="Times New Roman" w:hAnsi="Times New Roman" w:eastAsia="宋体" w:cs="Times New Roman"/>
                <w:color w:val="0070C0"/>
                <w:spacing w:val="15"/>
                <w:szCs w:val="21"/>
              </w:rPr>
              <w:t>满足</w:t>
            </w:r>
            <w:r>
              <w:rPr>
                <w:rFonts w:hint="eastAsia" w:ascii="Times New Roman" w:hAnsi="Times New Roman" w:eastAsia="宋体" w:cs="Times New Roman"/>
                <w:color w:val="0070C0"/>
                <w:spacing w:val="15"/>
                <w:szCs w:val="21"/>
              </w:rPr>
              <w:t>GB3096</w:t>
            </w:r>
            <w:r>
              <w:rPr>
                <w:rFonts w:ascii="Times New Roman" w:hAnsi="Times New Roman" w:eastAsia="宋体" w:cs="Times New Roman"/>
                <w:color w:val="0070C0"/>
                <w:spacing w:val="15"/>
                <w:szCs w:val="21"/>
              </w:rPr>
              <w:t>-</w:t>
            </w:r>
            <w:r>
              <w:rPr>
                <w:rFonts w:hint="eastAsia" w:ascii="Times New Roman" w:hAnsi="Times New Roman" w:eastAsia="宋体" w:cs="Times New Roman"/>
                <w:color w:val="0070C0"/>
                <w:spacing w:val="15"/>
                <w:szCs w:val="21"/>
              </w:rPr>
              <w:t>2008</w:t>
            </w:r>
            <w:r>
              <w:rPr>
                <w:rFonts w:ascii="Times New Roman" w:hAnsi="Times New Roman" w:eastAsia="宋体" w:cs="Times New Roman"/>
                <w:color w:val="0070C0"/>
                <w:spacing w:val="15"/>
                <w:szCs w:val="21"/>
              </w:rPr>
              <w:t>《</w:t>
            </w:r>
            <w:r>
              <w:rPr>
                <w:rFonts w:hint="eastAsia" w:ascii="Times New Roman" w:hAnsi="Times New Roman" w:eastAsia="宋体" w:cs="Times New Roman"/>
                <w:color w:val="0070C0"/>
                <w:spacing w:val="15"/>
                <w:szCs w:val="21"/>
              </w:rPr>
              <w:t>声环境质量标准</w:t>
            </w:r>
            <w:r>
              <w:rPr>
                <w:rFonts w:ascii="Times New Roman" w:hAnsi="Times New Roman" w:eastAsia="宋体" w:cs="Times New Roman"/>
                <w:color w:val="0070C0"/>
                <w:spacing w:val="15"/>
                <w:szCs w:val="21"/>
              </w:rPr>
              <w:t>》</w:t>
            </w:r>
            <w:r>
              <w:rPr>
                <w:rFonts w:hint="eastAsia" w:ascii="Times New Roman" w:hAnsi="Times New Roman" w:eastAsia="宋体" w:cs="Times New Roman"/>
                <w:color w:val="0070C0"/>
                <w:spacing w:val="15"/>
                <w:szCs w:val="21"/>
              </w:rPr>
              <w:t>2</w:t>
            </w:r>
            <w:r>
              <w:rPr>
                <w:rFonts w:ascii="Times New Roman" w:hAnsi="Times New Roman" w:eastAsia="宋体" w:cs="Times New Roman"/>
                <w:color w:val="0070C0"/>
                <w:spacing w:val="15"/>
                <w:szCs w:val="21"/>
              </w:rPr>
              <w:t>类标准</w:t>
            </w:r>
            <w:r>
              <w:rPr>
                <w:rFonts w:hint="eastAsia" w:ascii="Times New Roman" w:hAnsi="Times New Roman" w:eastAsia="宋体" w:cs="Times New Roman"/>
                <w:color w:val="0070C0"/>
                <w:spacing w:val="15"/>
                <w:szCs w:val="21"/>
              </w:rPr>
              <w:t>要求。</w:t>
            </w:r>
          </w:p>
          <w:p>
            <w:pPr>
              <w:widowControl/>
              <w:spacing w:line="360" w:lineRule="auto"/>
              <w:jc w:val="left"/>
              <w:rPr>
                <w:rFonts w:ascii="Times New Roman" w:hAnsi="Times New Roman" w:eastAsia="宋体" w:cs="Times New Roman"/>
                <w:color w:val="0070C0"/>
                <w:spacing w:val="15"/>
                <w:szCs w:val="21"/>
              </w:rPr>
            </w:pPr>
            <w:r>
              <w:rPr>
                <w:rFonts w:hint="eastAsia" w:ascii="Times New Roman" w:hAnsi="Times New Roman" w:eastAsia="宋体" w:cs="Times New Roman"/>
                <w:color w:val="0070C0"/>
                <w:spacing w:val="15"/>
                <w:szCs w:val="21"/>
              </w:rPr>
              <w:t>4、固废。本次工程不新增固体废物。</w:t>
            </w:r>
          </w:p>
        </w:tc>
        <w:tc>
          <w:tcPr>
            <w:tcW w:w="1327" w:type="dxa"/>
            <w:shd w:val="clear" w:color="auto" w:fill="auto"/>
            <w:tcMar>
              <w:top w:w="0" w:type="dxa"/>
              <w:left w:w="108" w:type="dxa"/>
              <w:bottom w:w="0" w:type="dxa"/>
              <w:right w:w="108" w:type="dxa"/>
            </w:tcMar>
            <w:vAlign w:val="center"/>
          </w:tcPr>
          <w:p>
            <w:pPr>
              <w:widowControl/>
              <w:shd w:val="clear" w:color="auto" w:fill="FFFFFF"/>
              <w:jc w:val="center"/>
              <w:rPr>
                <w:color w:val="4F81BD"/>
                <w:spacing w:val="15"/>
                <w:kern w:val="0"/>
                <w:szCs w:val="21"/>
              </w:rPr>
            </w:pPr>
            <w:r>
              <w:rPr>
                <w:rFonts w:hint="eastAsia"/>
                <w:color w:val="4F81BD"/>
                <w:spacing w:val="15"/>
                <w:kern w:val="0"/>
                <w:szCs w:val="21"/>
              </w:rPr>
              <w:t>无</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trHeight w:val="197" w:hRule="atLeast"/>
          <w:jc w:val="center"/>
        </w:trPr>
        <w:tc>
          <w:tcPr>
            <w:tcW w:w="75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360" w:lineRule="auto"/>
              <w:ind w:firstLine="480" w:firstLineChars="200"/>
              <w:jc w:val="left"/>
              <w:rPr>
                <w:rFonts w:hint="eastAsia" w:ascii="Times New Roman" w:hAnsi="Times New Roman" w:eastAsia="宋体" w:cs="Times New Roman"/>
                <w:color w:val="0070C0"/>
                <w:spacing w:val="15"/>
                <w:szCs w:val="21"/>
                <w:lang w:val="en-US" w:eastAsia="zh-CN"/>
              </w:rPr>
            </w:pPr>
            <w:r>
              <w:rPr>
                <w:rFonts w:hint="eastAsia" w:cs="Times New Roman"/>
                <w:color w:val="0070C0"/>
                <w:spacing w:val="15"/>
                <w:szCs w:val="21"/>
                <w:lang w:val="en-US" w:eastAsia="zh-CN"/>
              </w:rPr>
              <w:t>3</w:t>
            </w:r>
          </w:p>
        </w:tc>
        <w:tc>
          <w:tcPr>
            <w:tcW w:w="1245" w:type="dxa"/>
            <w:tcBorders>
              <w:top w:val="single" w:color="auto" w:sz="4" w:space="0"/>
              <w:left w:val="nil"/>
              <w:bottom w:val="single" w:color="auto" w:sz="4" w:space="0"/>
              <w:right w:val="single" w:color="auto" w:sz="4" w:space="0"/>
            </w:tcBorders>
            <w:shd w:val="clear" w:color="auto" w:fill="auto"/>
            <w:vAlign w:val="center"/>
          </w:tcPr>
          <w:p>
            <w:pPr>
              <w:widowControl/>
              <w:spacing w:line="360" w:lineRule="auto"/>
              <w:jc w:val="left"/>
              <w:rPr>
                <w:rFonts w:hint="default" w:ascii="Times New Roman" w:hAnsi="Times New Roman" w:eastAsia="宋体" w:cs="Times New Roman"/>
                <w:color w:val="0070C0"/>
                <w:spacing w:val="15"/>
                <w:szCs w:val="21"/>
                <w:lang w:val="en-US" w:eastAsia="zh-CN"/>
              </w:rPr>
            </w:pPr>
            <w:r>
              <w:rPr>
                <w:rFonts w:hint="default" w:ascii="Times New Roman" w:hAnsi="Times New Roman" w:eastAsia="宋体" w:cs="Times New Roman"/>
                <w:color w:val="0070C0"/>
                <w:spacing w:val="15"/>
                <w:szCs w:val="21"/>
              </w:rPr>
              <w:t>年产5000万个解压玩具项目</w:t>
            </w:r>
          </w:p>
        </w:tc>
        <w:tc>
          <w:tcPr>
            <w:tcW w:w="1260" w:type="dxa"/>
            <w:tcBorders>
              <w:top w:val="single" w:color="auto" w:sz="4" w:space="0"/>
              <w:left w:val="nil"/>
              <w:bottom w:val="single" w:color="auto" w:sz="4" w:space="0"/>
              <w:right w:val="single" w:color="auto" w:sz="4" w:space="0"/>
            </w:tcBorders>
            <w:shd w:val="clear" w:color="auto" w:fill="auto"/>
            <w:vAlign w:val="center"/>
          </w:tcPr>
          <w:p>
            <w:pPr>
              <w:widowControl/>
              <w:spacing w:line="360" w:lineRule="auto"/>
              <w:jc w:val="left"/>
              <w:rPr>
                <w:rFonts w:hint="default" w:ascii="Times New Roman" w:hAnsi="Times New Roman" w:eastAsia="宋体" w:cs="Times New Roman"/>
                <w:color w:val="0070C0"/>
                <w:spacing w:val="15"/>
                <w:szCs w:val="21"/>
                <w:lang w:val="en-US" w:eastAsia="zh-CN"/>
              </w:rPr>
            </w:pPr>
            <w:r>
              <w:rPr>
                <w:rFonts w:hint="default" w:ascii="Times New Roman" w:hAnsi="Times New Roman" w:eastAsia="宋体" w:cs="Times New Roman"/>
                <w:color w:val="0070C0"/>
                <w:spacing w:val="15"/>
                <w:szCs w:val="21"/>
              </w:rPr>
              <w:t>河南省周口市西华县经开区华兴大道精密产业制造园院内</w:t>
            </w:r>
          </w:p>
        </w:tc>
        <w:tc>
          <w:tcPr>
            <w:tcW w:w="917" w:type="dxa"/>
            <w:tcBorders>
              <w:top w:val="single" w:color="auto" w:sz="4" w:space="0"/>
              <w:left w:val="nil"/>
              <w:bottom w:val="single" w:color="auto" w:sz="4" w:space="0"/>
              <w:right w:val="single" w:color="auto" w:sz="4" w:space="0"/>
            </w:tcBorders>
            <w:shd w:val="clear" w:color="auto" w:fill="auto"/>
            <w:vAlign w:val="center"/>
          </w:tcPr>
          <w:p>
            <w:pPr>
              <w:widowControl/>
              <w:spacing w:line="360" w:lineRule="auto"/>
              <w:jc w:val="left"/>
              <w:rPr>
                <w:rFonts w:hint="default" w:ascii="Times New Roman" w:hAnsi="Times New Roman" w:eastAsia="宋体" w:cs="Times New Roman"/>
                <w:color w:val="0070C0"/>
                <w:spacing w:val="15"/>
                <w:szCs w:val="21"/>
                <w:lang w:val="en-US" w:eastAsia="zh-CN"/>
              </w:rPr>
            </w:pPr>
            <w:r>
              <w:rPr>
                <w:rFonts w:hint="default" w:ascii="Times New Roman" w:hAnsi="Times New Roman" w:eastAsia="宋体" w:cs="Times New Roman"/>
                <w:color w:val="0070C0"/>
                <w:spacing w:val="15"/>
                <w:szCs w:val="21"/>
              </w:rPr>
              <w:t>河南博论工艺品有限公司</w:t>
            </w:r>
          </w:p>
        </w:tc>
        <w:tc>
          <w:tcPr>
            <w:tcW w:w="1245" w:type="dxa"/>
            <w:tcBorders>
              <w:top w:val="single" w:color="auto" w:sz="4" w:space="0"/>
              <w:left w:val="nil"/>
              <w:bottom w:val="single" w:color="auto" w:sz="4" w:space="0"/>
              <w:right w:val="single" w:color="auto" w:sz="4" w:space="0"/>
            </w:tcBorders>
            <w:shd w:val="clear" w:color="auto" w:fill="auto"/>
            <w:vAlign w:val="center"/>
          </w:tcPr>
          <w:p>
            <w:pPr>
              <w:widowControl/>
              <w:spacing w:line="360" w:lineRule="auto"/>
              <w:jc w:val="left"/>
              <w:rPr>
                <w:rFonts w:hint="default" w:ascii="Times New Roman" w:hAnsi="Times New Roman" w:eastAsia="宋体" w:cs="Times New Roman"/>
                <w:color w:val="0070C0"/>
                <w:spacing w:val="15"/>
                <w:szCs w:val="21"/>
                <w:lang w:val="en-US" w:eastAsia="zh-CN"/>
              </w:rPr>
            </w:pPr>
            <w:r>
              <w:rPr>
                <w:rFonts w:hint="eastAsia" w:ascii="Times New Roman" w:hAnsi="Times New Roman" w:eastAsia="宋体" w:cs="Times New Roman"/>
                <w:color w:val="0070C0"/>
                <w:spacing w:val="15"/>
                <w:szCs w:val="21"/>
                <w:lang w:val="en-US" w:eastAsia="zh-CN"/>
              </w:rPr>
              <w:t>河南乐骏环保科技有限公司</w:t>
            </w:r>
          </w:p>
        </w:tc>
        <w:tc>
          <w:tcPr>
            <w:tcW w:w="1905" w:type="dxa"/>
            <w:tcBorders>
              <w:top w:val="single" w:color="auto" w:sz="4" w:space="0"/>
              <w:left w:val="nil"/>
              <w:bottom w:val="single" w:color="auto" w:sz="4" w:space="0"/>
              <w:right w:val="single" w:color="auto" w:sz="4" w:space="0"/>
            </w:tcBorders>
            <w:shd w:val="clear" w:color="auto" w:fill="auto"/>
            <w:vAlign w:val="center"/>
          </w:tcPr>
          <w:p>
            <w:pPr>
              <w:widowControl/>
              <w:spacing w:line="360" w:lineRule="auto"/>
              <w:jc w:val="left"/>
              <w:rPr>
                <w:rFonts w:hint="default" w:ascii="Times New Roman" w:hAnsi="Times New Roman" w:eastAsia="宋体" w:cs="Times New Roman"/>
                <w:color w:val="0070C0"/>
                <w:spacing w:val="15"/>
                <w:szCs w:val="21"/>
                <w:lang w:val="en-US" w:eastAsia="zh-CN"/>
              </w:rPr>
            </w:pPr>
            <w:r>
              <w:rPr>
                <w:rFonts w:hint="eastAsia" w:ascii="Times New Roman" w:hAnsi="Times New Roman" w:eastAsia="宋体" w:cs="Times New Roman"/>
                <w:color w:val="0070C0"/>
                <w:spacing w:val="15"/>
                <w:szCs w:val="21"/>
                <w:lang w:val="en-US" w:eastAsia="zh-CN"/>
              </w:rPr>
              <w:t>本项目为新建，项目地址位于河南省周口市西华县经开区华兴大道精密产业制造园院内，租赁厂房13000m²，总投资10000万元，环保投资47万元。工艺流程为原料-配料-注塑-发泡-转印-成型-放气-脱模-修边-喷漆晾干-检验-包装-成品，设备主要有PU发泡注塑机，PU玩具生产流水线、空压机、压边机、吸塑机、切边机、制冷机、打包机、喷漆晾干房等</w:t>
            </w:r>
          </w:p>
        </w:tc>
        <w:tc>
          <w:tcPr>
            <w:tcW w:w="5445" w:type="dxa"/>
            <w:tcBorders>
              <w:top w:val="single" w:color="auto" w:sz="4" w:space="0"/>
              <w:left w:val="nil"/>
              <w:bottom w:val="single" w:color="auto" w:sz="4" w:space="0"/>
              <w:right w:val="single" w:color="auto" w:sz="4" w:space="0"/>
            </w:tcBorders>
            <w:shd w:val="clear" w:color="auto" w:fill="auto"/>
            <w:vAlign w:val="center"/>
          </w:tcPr>
          <w:p>
            <w:pPr>
              <w:widowControl/>
              <w:spacing w:line="360" w:lineRule="auto"/>
              <w:jc w:val="left"/>
              <w:rPr>
                <w:rFonts w:hint="eastAsia" w:ascii="Times New Roman" w:hAnsi="Times New Roman" w:eastAsia="宋体" w:cs="Times New Roman"/>
                <w:color w:val="0070C0"/>
                <w:spacing w:val="15"/>
                <w:szCs w:val="21"/>
                <w:lang w:eastAsia="zh-CN"/>
              </w:rPr>
            </w:pPr>
            <w:r>
              <w:rPr>
                <w:rFonts w:hint="eastAsia" w:ascii="Times New Roman" w:hAnsi="Times New Roman" w:eastAsia="宋体" w:cs="Times New Roman"/>
                <w:color w:val="0070C0"/>
                <w:spacing w:val="15"/>
                <w:szCs w:val="21"/>
                <w:lang w:val="en-US" w:eastAsia="zh-CN"/>
              </w:rPr>
              <w:t>1、</w:t>
            </w:r>
            <w:r>
              <w:rPr>
                <w:rFonts w:hint="eastAsia" w:ascii="Times New Roman" w:hAnsi="Times New Roman" w:eastAsia="宋体" w:cs="Times New Roman"/>
                <w:color w:val="0070C0"/>
                <w:spacing w:val="15"/>
                <w:szCs w:val="21"/>
                <w:lang w:eastAsia="zh-CN"/>
              </w:rPr>
              <w:t>废气。</w:t>
            </w:r>
            <w:r>
              <w:rPr>
                <w:rFonts w:hint="eastAsia" w:ascii="Times New Roman" w:hAnsi="Times New Roman" w:eastAsia="宋体" w:cs="Times New Roman"/>
                <w:color w:val="0070C0"/>
                <w:spacing w:val="15"/>
                <w:szCs w:val="21"/>
                <w:lang w:val="en-US" w:eastAsia="zh-CN"/>
              </w:rPr>
              <w:t>配料废气经搅拌桶密闭运行，设置集气管道；涂模、吸塑放壳、注塑、发泡、转印、成型、放气和脱模废气经二次密闭+上方设集气罩；喷漆晾干废气经二次密闭+上方设集气罩收集后，共用1套滤芯除尘+活性炭吸附脱附+催化燃烧装置+1根27米高排气筒处理，处理后的废气</w:t>
            </w:r>
            <w:r>
              <w:rPr>
                <w:rFonts w:hint="eastAsia" w:cs="Times New Roman"/>
                <w:color w:val="0070C0"/>
                <w:spacing w:val="15"/>
                <w:szCs w:val="21"/>
                <w:lang w:val="en-US" w:eastAsia="zh-CN"/>
              </w:rPr>
              <w:t>应</w:t>
            </w:r>
            <w:r>
              <w:rPr>
                <w:rFonts w:hint="eastAsia" w:ascii="Times New Roman" w:hAnsi="Times New Roman" w:eastAsia="宋体" w:cs="Times New Roman"/>
                <w:color w:val="0070C0"/>
                <w:spacing w:val="15"/>
                <w:szCs w:val="21"/>
                <w:lang w:val="en-US" w:eastAsia="zh-CN"/>
              </w:rPr>
              <w:t>满足《大气污染物综合排放标准》（GB16297-1996）表2二级标准、《合成树脂工业污染物排放标准》（GB31572-2015）及其修改单表5标准、河南省地方标准《印刷工业挥发性有机物排放标准》（DB41/1956-2020）表1标准及《河南省重污染天气重点行业应急减排措施制定技术指南》（2021年修订版）塑料制品A级绩效分级指标要求；</w:t>
            </w:r>
          </w:p>
          <w:p>
            <w:pPr>
              <w:widowControl/>
              <w:spacing w:line="360" w:lineRule="auto"/>
              <w:jc w:val="left"/>
              <w:rPr>
                <w:rFonts w:hint="eastAsia" w:ascii="Times New Roman" w:hAnsi="Times New Roman" w:eastAsia="宋体" w:cs="Times New Roman"/>
                <w:color w:val="0070C0"/>
                <w:spacing w:val="15"/>
                <w:szCs w:val="21"/>
                <w:lang w:eastAsia="zh-CN"/>
              </w:rPr>
            </w:pPr>
            <w:r>
              <w:rPr>
                <w:rFonts w:hint="eastAsia" w:ascii="Times New Roman" w:hAnsi="Times New Roman" w:eastAsia="宋体" w:cs="Times New Roman"/>
                <w:color w:val="0070C0"/>
                <w:spacing w:val="15"/>
                <w:szCs w:val="21"/>
                <w:lang w:eastAsia="zh-CN"/>
              </w:rPr>
              <w:t>2、废水。运营期</w:t>
            </w:r>
            <w:r>
              <w:rPr>
                <w:rFonts w:hint="eastAsia" w:ascii="Times New Roman" w:hAnsi="Times New Roman" w:eastAsia="宋体" w:cs="Times New Roman"/>
                <w:color w:val="0070C0"/>
                <w:spacing w:val="15"/>
                <w:szCs w:val="21"/>
                <w:lang w:val="en-US" w:eastAsia="zh-CN"/>
              </w:rPr>
              <w:t>生活污水经化粪池处理后，与</w:t>
            </w:r>
            <w:r>
              <w:rPr>
                <w:rFonts w:hint="eastAsia" w:ascii="Times New Roman" w:hAnsi="Times New Roman" w:eastAsia="宋体" w:cs="Times New Roman"/>
                <w:color w:val="0070C0"/>
                <w:spacing w:val="15"/>
                <w:szCs w:val="21"/>
                <w:lang w:eastAsia="zh-CN"/>
              </w:rPr>
              <w:t>冷却废水</w:t>
            </w:r>
            <w:r>
              <w:rPr>
                <w:rFonts w:hint="eastAsia" w:ascii="Times New Roman" w:hAnsi="Times New Roman" w:eastAsia="宋体" w:cs="Times New Roman"/>
                <w:color w:val="0070C0"/>
                <w:spacing w:val="15"/>
                <w:szCs w:val="21"/>
                <w:lang w:val="en-US" w:eastAsia="zh-CN"/>
              </w:rPr>
              <w:t>一起</w:t>
            </w:r>
            <w:r>
              <w:rPr>
                <w:rFonts w:hint="eastAsia" w:ascii="Times New Roman" w:hAnsi="Times New Roman" w:eastAsia="宋体" w:cs="Times New Roman"/>
                <w:color w:val="0070C0"/>
                <w:spacing w:val="15"/>
                <w:szCs w:val="21"/>
                <w:lang w:eastAsia="zh-CN"/>
              </w:rPr>
              <w:t>通过厂区总排口排入西华县经开区污水处理厂处理，</w:t>
            </w:r>
            <w:r>
              <w:rPr>
                <w:rFonts w:hint="eastAsia" w:ascii="Times New Roman" w:hAnsi="Times New Roman" w:eastAsia="宋体" w:cs="Times New Roman"/>
                <w:color w:val="0070C0"/>
                <w:spacing w:val="15"/>
                <w:szCs w:val="21"/>
                <w:lang w:val="en-US" w:eastAsia="zh-CN"/>
              </w:rPr>
              <w:t>外排水质</w:t>
            </w:r>
            <w:r>
              <w:rPr>
                <w:rFonts w:hint="eastAsia" w:cs="Times New Roman"/>
                <w:color w:val="0070C0"/>
                <w:spacing w:val="15"/>
                <w:szCs w:val="21"/>
                <w:lang w:val="en-US" w:eastAsia="zh-CN"/>
              </w:rPr>
              <w:t>应</w:t>
            </w:r>
            <w:r>
              <w:rPr>
                <w:rFonts w:hint="eastAsia" w:ascii="Times New Roman" w:hAnsi="Times New Roman" w:eastAsia="宋体" w:cs="Times New Roman"/>
                <w:color w:val="0070C0"/>
                <w:spacing w:val="15"/>
                <w:szCs w:val="21"/>
                <w:lang w:val="en-US" w:eastAsia="zh-CN"/>
              </w:rPr>
              <w:t>满足《合成树脂工业污染物排放标准》（GB 31572-2015）及其修改单表1间接排放要求及西华县经开区污水处理厂进水水质要求</w:t>
            </w:r>
            <w:r>
              <w:rPr>
                <w:rFonts w:hint="eastAsia" w:ascii="Times New Roman" w:hAnsi="Times New Roman" w:eastAsia="宋体" w:cs="Times New Roman"/>
                <w:color w:val="0070C0"/>
                <w:spacing w:val="15"/>
                <w:szCs w:val="21"/>
                <w:lang w:eastAsia="zh-CN"/>
              </w:rPr>
              <w:t>。</w:t>
            </w:r>
          </w:p>
          <w:p>
            <w:pPr>
              <w:widowControl/>
              <w:spacing w:line="360" w:lineRule="auto"/>
              <w:jc w:val="left"/>
              <w:rPr>
                <w:rFonts w:hint="eastAsia" w:ascii="Times New Roman" w:hAnsi="Times New Roman" w:eastAsia="宋体" w:cs="Times New Roman"/>
                <w:color w:val="0070C0"/>
                <w:spacing w:val="15"/>
                <w:szCs w:val="21"/>
                <w:lang w:eastAsia="zh-CN"/>
              </w:rPr>
            </w:pPr>
            <w:r>
              <w:rPr>
                <w:rFonts w:hint="eastAsia" w:ascii="Times New Roman" w:hAnsi="Times New Roman" w:eastAsia="宋体" w:cs="Times New Roman"/>
                <w:color w:val="0070C0"/>
                <w:spacing w:val="15"/>
                <w:szCs w:val="21"/>
                <w:lang w:eastAsia="zh-CN"/>
              </w:rPr>
              <w:t>3、噪声。项目营运期生产机械采用合理布置、基础减震、隔音等措施。厂界噪声应满足《工业企业厂界环境噪声排放标准》（GB12348-2008）</w:t>
            </w:r>
            <w:r>
              <w:rPr>
                <w:rFonts w:hint="eastAsia" w:ascii="Times New Roman" w:hAnsi="Times New Roman" w:eastAsia="宋体" w:cs="Times New Roman"/>
                <w:color w:val="0070C0"/>
                <w:spacing w:val="15"/>
                <w:szCs w:val="21"/>
                <w:lang w:val="en-US" w:eastAsia="zh-CN"/>
              </w:rPr>
              <w:t>3</w:t>
            </w:r>
            <w:r>
              <w:rPr>
                <w:rFonts w:hint="eastAsia" w:ascii="Times New Roman" w:hAnsi="Times New Roman" w:eastAsia="宋体" w:cs="Times New Roman"/>
                <w:color w:val="0070C0"/>
                <w:spacing w:val="15"/>
                <w:szCs w:val="21"/>
                <w:lang w:eastAsia="zh-CN"/>
              </w:rPr>
              <w:t>类标准要求。</w:t>
            </w:r>
          </w:p>
          <w:p>
            <w:pPr>
              <w:widowControl/>
              <w:spacing w:line="360" w:lineRule="auto"/>
              <w:jc w:val="left"/>
              <w:rPr>
                <w:rFonts w:hint="eastAsia" w:ascii="Times New Roman" w:hAnsi="Times New Roman" w:eastAsia="宋体" w:cs="Times New Roman"/>
                <w:color w:val="0070C0"/>
                <w:spacing w:val="15"/>
                <w:szCs w:val="21"/>
                <w:lang w:val="en-US" w:eastAsia="zh-CN"/>
              </w:rPr>
            </w:pPr>
            <w:r>
              <w:rPr>
                <w:rFonts w:hint="eastAsia" w:ascii="Times New Roman" w:hAnsi="Times New Roman" w:eastAsia="宋体" w:cs="Times New Roman"/>
                <w:color w:val="0070C0"/>
                <w:spacing w:val="15"/>
                <w:szCs w:val="21"/>
                <w:lang w:eastAsia="zh-CN"/>
              </w:rPr>
              <w:t>4、固废。</w:t>
            </w:r>
            <w:r>
              <w:rPr>
                <w:rFonts w:hint="eastAsia" w:ascii="Times New Roman" w:hAnsi="Times New Roman" w:eastAsia="宋体" w:cs="Times New Roman"/>
                <w:color w:val="0070C0"/>
                <w:spacing w:val="15"/>
                <w:szCs w:val="21"/>
                <w:lang w:val="en-US" w:eastAsia="zh-CN"/>
              </w:rPr>
              <w:t>一般固废、危险固废和员工</w:t>
            </w:r>
            <w:r>
              <w:rPr>
                <w:rFonts w:hint="eastAsia" w:ascii="Times New Roman" w:hAnsi="Times New Roman" w:eastAsia="宋体" w:cs="Times New Roman"/>
                <w:color w:val="0070C0"/>
                <w:spacing w:val="15"/>
                <w:szCs w:val="21"/>
              </w:rPr>
              <w:t>生活垃圾</w:t>
            </w:r>
            <w:r>
              <w:rPr>
                <w:rFonts w:hint="eastAsia" w:ascii="Times New Roman" w:hAnsi="Times New Roman" w:eastAsia="宋体" w:cs="Times New Roman"/>
                <w:color w:val="0070C0"/>
                <w:spacing w:val="15"/>
                <w:szCs w:val="21"/>
                <w:lang w:val="en-US" w:eastAsia="zh-CN"/>
              </w:rPr>
              <w:t>。</w:t>
            </w:r>
          </w:p>
          <w:p>
            <w:pPr>
              <w:widowControl/>
              <w:spacing w:line="360" w:lineRule="auto"/>
              <w:jc w:val="left"/>
              <w:rPr>
                <w:rFonts w:hint="eastAsia" w:ascii="Times New Roman" w:hAnsi="Times New Roman" w:eastAsia="宋体" w:cs="Times New Roman"/>
                <w:color w:val="0070C0"/>
                <w:spacing w:val="15"/>
                <w:szCs w:val="21"/>
                <w:lang w:val="en-US" w:eastAsia="zh-CN"/>
              </w:rPr>
            </w:pPr>
            <w:r>
              <w:rPr>
                <w:rFonts w:hint="eastAsia" w:ascii="Times New Roman" w:hAnsi="Times New Roman" w:eastAsia="宋体" w:cs="Times New Roman"/>
                <w:color w:val="0070C0"/>
                <w:spacing w:val="15"/>
                <w:szCs w:val="21"/>
                <w:lang w:val="en-US" w:eastAsia="zh-CN"/>
              </w:rPr>
              <w:t>一般固废（废包装材料、废抹布、废边角料、废PVC转印膜、不合格品）暂存于</w:t>
            </w:r>
            <w:r>
              <w:rPr>
                <w:rFonts w:hint="default" w:ascii="Times New Roman" w:hAnsi="Times New Roman" w:eastAsia="宋体" w:cs="Times New Roman"/>
                <w:color w:val="0070C0"/>
                <w:spacing w:val="15"/>
                <w:szCs w:val="21"/>
              </w:rPr>
              <w:t>一般固暂存间（</w:t>
            </w:r>
            <w:r>
              <w:rPr>
                <w:rFonts w:hint="eastAsia" w:ascii="Times New Roman" w:hAnsi="Times New Roman" w:eastAsia="宋体" w:cs="Times New Roman"/>
                <w:color w:val="0070C0"/>
                <w:spacing w:val="15"/>
                <w:szCs w:val="21"/>
                <w:lang w:val="en-US" w:eastAsia="zh-CN"/>
              </w:rPr>
              <w:t>2</w:t>
            </w:r>
            <w:r>
              <w:rPr>
                <w:rFonts w:hint="default" w:ascii="Times New Roman" w:hAnsi="Times New Roman" w:eastAsia="宋体" w:cs="Times New Roman"/>
                <w:color w:val="0070C0"/>
                <w:spacing w:val="15"/>
                <w:szCs w:val="21"/>
              </w:rPr>
              <w:t>0m</w:t>
            </w:r>
            <w:r>
              <w:rPr>
                <w:rFonts w:hint="default" w:ascii="Times New Roman" w:hAnsi="Times New Roman" w:eastAsia="宋体" w:cs="Times New Roman"/>
                <w:color w:val="0070C0"/>
                <w:spacing w:val="15"/>
                <w:szCs w:val="21"/>
                <w:vertAlign w:val="superscript"/>
              </w:rPr>
              <w:t>2</w:t>
            </w:r>
            <w:r>
              <w:rPr>
                <w:rFonts w:hint="default" w:ascii="Times New Roman" w:hAnsi="Times New Roman" w:eastAsia="宋体" w:cs="Times New Roman"/>
                <w:color w:val="0070C0"/>
                <w:spacing w:val="15"/>
                <w:szCs w:val="21"/>
              </w:rPr>
              <w:t>）</w:t>
            </w:r>
            <w:r>
              <w:rPr>
                <w:rFonts w:hint="default" w:ascii="Times New Roman" w:hAnsi="Times New Roman" w:eastAsia="宋体" w:cs="Times New Roman"/>
                <w:color w:val="0070C0"/>
                <w:spacing w:val="15"/>
                <w:szCs w:val="21"/>
                <w:lang w:val="en-US" w:eastAsia="zh-CN"/>
              </w:rPr>
              <w:t>后，定期外售</w:t>
            </w:r>
            <w:r>
              <w:rPr>
                <w:rFonts w:hint="eastAsia" w:ascii="Times New Roman" w:hAnsi="Times New Roman" w:eastAsia="宋体" w:cs="Times New Roman"/>
                <w:color w:val="0070C0"/>
                <w:spacing w:val="15"/>
                <w:szCs w:val="21"/>
                <w:lang w:val="en-US" w:eastAsia="zh-CN"/>
              </w:rPr>
              <w:t>；危险固废（废活性炭、废滤芯、废催化剂、废机油、危险化学品废包装材料）暂存于危废</w:t>
            </w:r>
            <w:r>
              <w:rPr>
                <w:rFonts w:hint="default" w:ascii="Times New Roman" w:hAnsi="Times New Roman" w:eastAsia="宋体" w:cs="Times New Roman"/>
                <w:color w:val="0070C0"/>
                <w:spacing w:val="15"/>
                <w:szCs w:val="21"/>
              </w:rPr>
              <w:t>暂存间（</w:t>
            </w:r>
            <w:r>
              <w:rPr>
                <w:rFonts w:hint="eastAsia" w:ascii="Times New Roman" w:hAnsi="Times New Roman" w:eastAsia="宋体" w:cs="Times New Roman"/>
                <w:color w:val="0070C0"/>
                <w:spacing w:val="15"/>
                <w:szCs w:val="21"/>
                <w:lang w:val="en-US" w:eastAsia="zh-CN"/>
              </w:rPr>
              <w:t>1</w:t>
            </w:r>
            <w:r>
              <w:rPr>
                <w:rFonts w:hint="default" w:ascii="Times New Roman" w:hAnsi="Times New Roman" w:eastAsia="宋体" w:cs="Times New Roman"/>
                <w:color w:val="0070C0"/>
                <w:spacing w:val="15"/>
                <w:szCs w:val="21"/>
              </w:rPr>
              <w:t>0m</w:t>
            </w:r>
            <w:r>
              <w:rPr>
                <w:rFonts w:hint="default" w:ascii="Times New Roman" w:hAnsi="Times New Roman" w:eastAsia="宋体" w:cs="Times New Roman"/>
                <w:color w:val="0070C0"/>
                <w:spacing w:val="15"/>
                <w:szCs w:val="21"/>
                <w:vertAlign w:val="superscript"/>
              </w:rPr>
              <w:t>2</w:t>
            </w:r>
            <w:r>
              <w:rPr>
                <w:rFonts w:hint="default" w:ascii="Times New Roman" w:hAnsi="Times New Roman" w:eastAsia="宋体" w:cs="Times New Roman"/>
                <w:color w:val="0070C0"/>
                <w:spacing w:val="15"/>
                <w:szCs w:val="21"/>
              </w:rPr>
              <w:t>）</w:t>
            </w:r>
            <w:r>
              <w:rPr>
                <w:rFonts w:hint="default" w:ascii="Times New Roman" w:hAnsi="Times New Roman" w:eastAsia="宋体" w:cs="Times New Roman"/>
                <w:color w:val="0070C0"/>
                <w:spacing w:val="15"/>
                <w:szCs w:val="21"/>
                <w:lang w:val="en-US" w:eastAsia="zh-CN"/>
              </w:rPr>
              <w:t>后，</w:t>
            </w:r>
            <w:r>
              <w:rPr>
                <w:rFonts w:hint="eastAsia" w:ascii="Times New Roman" w:hAnsi="Times New Roman" w:eastAsia="宋体" w:cs="Times New Roman"/>
                <w:color w:val="0070C0"/>
                <w:spacing w:val="15"/>
                <w:szCs w:val="21"/>
                <w:lang w:val="en-US" w:eastAsia="zh-CN"/>
              </w:rPr>
              <w:t>合理处置；生活垃圾经垃圾收集箱收集后由环卫部门定期清运</w:t>
            </w:r>
            <w:r>
              <w:rPr>
                <w:rFonts w:hint="eastAsia" w:ascii="Times New Roman" w:hAnsi="Times New Roman" w:eastAsia="宋体" w:cs="Times New Roman"/>
                <w:color w:val="0070C0"/>
                <w:spacing w:val="15"/>
                <w:szCs w:val="21"/>
                <w:lang w:eastAsia="zh-CN"/>
              </w:rPr>
              <w:t>。</w:t>
            </w:r>
          </w:p>
        </w:tc>
        <w:tc>
          <w:tcPr>
            <w:tcW w:w="1327" w:type="dxa"/>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4F81BD"/>
                <w:spacing w:val="15"/>
                <w:kern w:val="0"/>
                <w:sz w:val="21"/>
                <w:szCs w:val="21"/>
                <w:highlight w:val="none"/>
                <w:lang w:val="en-US" w:eastAsia="zh-CN" w:bidi="ar-SA"/>
              </w:rPr>
            </w:pPr>
            <w:r>
              <w:rPr>
                <w:rFonts w:hint="eastAsia" w:eastAsia="宋体" w:cs="Times New Roman"/>
                <w:color w:val="4F81BD"/>
                <w:spacing w:val="15"/>
                <w:kern w:val="0"/>
                <w:sz w:val="21"/>
                <w:szCs w:val="21"/>
                <w:highlight w:val="none"/>
                <w:lang w:val="en-US" w:eastAsia="zh-CN"/>
              </w:rPr>
              <w:t>无</w:t>
            </w:r>
          </w:p>
        </w:tc>
      </w:tr>
    </w:tbl>
    <w:p/>
    <w:p/>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auto"/>
    <w:pitch w:val="default"/>
    <w:sig w:usb0="E0002EFF" w:usb1="C000785B" w:usb2="00000009" w:usb3="00000000" w:csb0="400001FF" w:csb1="FFFF0000"/>
  </w:font>
  <w:font w:name="宋体">
    <w:panose1 w:val="02010600030101010101"/>
    <w:charset w:val="78"/>
    <w:family w:val="moder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Q2MjM2ZWE3ZDk0NTVhOTlmZDM0MmRiNGM3MmFkNGQifQ=="/>
  </w:docVars>
  <w:rsids>
    <w:rsidRoot w:val="08B67DFD"/>
    <w:rsid w:val="07A506B5"/>
    <w:rsid w:val="08B67DFD"/>
    <w:rsid w:val="09E3201C"/>
    <w:rsid w:val="1DB47B00"/>
    <w:rsid w:val="1E7F010E"/>
    <w:rsid w:val="244F40DF"/>
    <w:rsid w:val="3F676329"/>
    <w:rsid w:val="40AB0E11"/>
    <w:rsid w:val="41E76CFE"/>
    <w:rsid w:val="484F4B1E"/>
    <w:rsid w:val="5C59248E"/>
    <w:rsid w:val="63C4349A"/>
    <w:rsid w:val="72021D5D"/>
    <w:rsid w:val="72AB14FA"/>
    <w:rsid w:val="78BE275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0"/>
    <w:pPr>
      <w:spacing w:before="100" w:beforeAutospacing="1" w:after="100" w:afterAutospacing="1"/>
      <w:jc w:val="left"/>
      <w:outlineLvl w:val="0"/>
    </w:pPr>
    <w:rPr>
      <w:rFonts w:hint="eastAsia" w:ascii="宋体" w:hAnsi="宋体" w:eastAsia="宋体" w:cs="宋体"/>
      <w:b/>
      <w:kern w:val="44"/>
      <w:sz w:val="48"/>
      <w:szCs w:val="48"/>
      <w:lang w:val="en-US" w:eastAsia="zh-CN" w:bidi="ar-SA"/>
    </w:rPr>
  </w:style>
  <w:style w:type="character" w:default="1" w:styleId="5">
    <w:name w:val="Default Paragraph Font"/>
    <w:semiHidden/>
    <w:qFormat/>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qFormat/>
    <w:uiPriority w:val="0"/>
    <w:pPr>
      <w:spacing w:before="100" w:beforeAutospacing="1" w:after="100" w:afterAutospacing="1"/>
      <w:jc w:val="left"/>
    </w:pPr>
    <w:rPr>
      <w:kern w:val="0"/>
      <w:sz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1691</Words>
  <Characters>1861</Characters>
  <Lines>0</Lines>
  <Paragraphs>0</Paragraphs>
  <TotalTime>39</TotalTime>
  <ScaleCrop>false</ScaleCrop>
  <LinksUpToDate>false</LinksUpToDate>
  <CharactersWithSpaces>1872</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2024-07-16T08:45:00Z</dcterms:created>
  <dc:creator>刺梅</dc:creator>
  <cp:lastModifiedBy>刺梅</cp:lastModifiedBy>
  <dcterms:modified xsi:type="dcterms:W3CDTF">2024-07-17T03:35:15Z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0D8A41AFCA67448DA0A4FBD9B9DCDDDE_11</vt:lpwstr>
  </property>
</Properties>
</file>