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w:t>
      </w:r>
      <w:r>
        <w:rPr>
          <w:rFonts w:hint="eastAsia"/>
          <w:color w:val="5B9BD5" w:themeColor="accent1"/>
          <w:sz w:val="36"/>
          <w:szCs w:val="36"/>
          <w:lang w:val="en-US" w:eastAsia="zh-CN"/>
          <w14:textFill>
            <w14:solidFill>
              <w14:schemeClr w14:val="accent1"/>
            </w14:solidFill>
          </w14:textFill>
        </w:rPr>
        <w:t>23</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12</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13</w:t>
      </w:r>
      <w:r>
        <w:rPr>
          <w:rFonts w:hint="eastAsia"/>
          <w:color w:val="5B9BD5" w:themeColor="accent1"/>
          <w:sz w:val="36"/>
          <w:szCs w:val="36"/>
          <w14:textFill>
            <w14:solidFill>
              <w14:schemeClr w14:val="accent1"/>
            </w14:solidFill>
          </w14:textFill>
        </w:rPr>
        <w:t>日—20</w:t>
      </w:r>
      <w:r>
        <w:rPr>
          <w:rFonts w:hint="eastAsia"/>
          <w:color w:val="5B9BD5" w:themeColor="accent1"/>
          <w:sz w:val="36"/>
          <w:szCs w:val="36"/>
          <w:lang w:val="en-US" w:eastAsia="zh-CN"/>
          <w14:textFill>
            <w14:solidFill>
              <w14:schemeClr w14:val="accent1"/>
            </w14:solidFill>
          </w14:textFill>
        </w:rPr>
        <w:t>23</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12</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28</w:t>
      </w:r>
      <w:r>
        <w:rPr>
          <w:rFonts w:hint="eastAsia"/>
          <w:color w:val="5B9BD5" w:themeColor="accent1"/>
          <w:sz w:val="36"/>
          <w:szCs w:val="36"/>
          <w14:textFill>
            <w14:solidFill>
              <w14:schemeClr w14:val="accent1"/>
            </w14:solidFill>
          </w14:textFill>
        </w:rPr>
        <w:t>日作出的</w:t>
      </w:r>
    </w:p>
    <w:p>
      <w:pPr>
        <w:jc w:val="center"/>
        <w:rPr>
          <w:rFonts w:hint="eastAsia"/>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pPr>
        <w:jc w:val="center"/>
        <w:rPr>
          <w:rFonts w:hint="default"/>
          <w:color w:val="5B9BD5" w:themeColor="accent1"/>
          <w:lang w:val="en-US"/>
          <w14:textFill>
            <w14:solidFill>
              <w14:schemeClr w14:val="accent1"/>
            </w14:solidFill>
          </w14:textFill>
        </w:rPr>
      </w:pPr>
      <w:r>
        <w:rPr>
          <w:rFonts w:hint="eastAsia"/>
          <w:color w:val="5B9BD5" w:themeColor="accent1"/>
          <w14:textFill>
            <w14:solidFill>
              <w14:schemeClr w14:val="accent1"/>
            </w14:solidFill>
          </w14:textFill>
        </w:rPr>
        <w:t>20</w:t>
      </w:r>
      <w:r>
        <w:rPr>
          <w:rFonts w:hint="eastAsia"/>
          <w:color w:val="5B9BD5" w:themeColor="accent1"/>
          <w:lang w:val="en-US" w:eastAsia="zh-CN"/>
          <w14:textFill>
            <w14:solidFill>
              <w14:schemeClr w14:val="accent1"/>
            </w14:solidFill>
          </w14:textFill>
        </w:rPr>
        <w:t>23</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12-29</w:t>
      </w:r>
    </w:p>
    <w:p>
      <w:pPr>
        <w:ind w:firstLine="420" w:firstLineChars="200"/>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w:t>
      </w:r>
      <w:r>
        <w:rPr>
          <w:rFonts w:hint="eastAsia"/>
          <w:color w:val="5B9BD5" w:themeColor="accent1"/>
          <w:lang w:val="en-US" w:eastAsia="zh-CN"/>
          <w14:textFill>
            <w14:solidFill>
              <w14:schemeClr w14:val="accent1"/>
            </w14:solidFill>
          </w14:textFill>
        </w:rPr>
        <w:t>23</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12</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13</w:t>
      </w:r>
      <w:r>
        <w:rPr>
          <w:rFonts w:hint="eastAsia"/>
          <w:color w:val="5B9BD5" w:themeColor="accent1"/>
          <w14:textFill>
            <w14:solidFill>
              <w14:schemeClr w14:val="accent1"/>
            </w14:solidFill>
          </w14:textFill>
        </w:rPr>
        <w:t>日—20</w:t>
      </w:r>
      <w:r>
        <w:rPr>
          <w:rFonts w:hint="eastAsia"/>
          <w:color w:val="5B9BD5" w:themeColor="accent1"/>
          <w:lang w:val="en-US" w:eastAsia="zh-CN"/>
          <w14:textFill>
            <w14:solidFill>
              <w14:schemeClr w14:val="accent1"/>
            </w14:solidFill>
          </w14:textFill>
        </w:rPr>
        <w:t>23</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12</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28</w:t>
      </w:r>
      <w:r>
        <w:rPr>
          <w:rFonts w:hint="eastAsia"/>
          <w:color w:val="5B9BD5" w:themeColor="accent1"/>
          <w14:textFill>
            <w14:solidFill>
              <w14:schemeClr w14:val="accent1"/>
            </w14:solidFill>
          </w14:textFill>
        </w:rPr>
        <w:t>日我局</w:t>
      </w:r>
      <w:r>
        <w:rPr>
          <w:rFonts w:hint="eastAsia"/>
          <w:color w:val="5B9BD5" w:themeColor="accent1"/>
          <w:lang w:val="en-US" w:eastAsia="zh-CN"/>
          <w14:textFill>
            <w14:solidFill>
              <w14:schemeClr w14:val="accent1"/>
            </w14:solidFill>
          </w14:textFill>
        </w:rPr>
        <w:t>对5</w:t>
      </w:r>
      <w:r>
        <w:rPr>
          <w:rFonts w:hint="eastAsia"/>
          <w:color w:val="5B9BD5" w:themeColor="accent1"/>
          <w14:textFill>
            <w14:solidFill>
              <w14:schemeClr w14:val="accent1"/>
            </w14:solidFill>
          </w14:textFill>
        </w:rPr>
        <w:t>个建设项目环境影响评价文件作出</w:t>
      </w:r>
      <w:r>
        <w:rPr>
          <w:rFonts w:hint="eastAsia"/>
          <w:color w:val="5B9BD5" w:themeColor="accent1"/>
          <w:lang w:val="en-US" w:eastAsia="zh-CN"/>
          <w14:textFill>
            <w14:solidFill>
              <w14:schemeClr w14:val="accent1"/>
            </w14:solidFill>
          </w14:textFill>
        </w:rPr>
        <w:t>了</w:t>
      </w:r>
      <w:r>
        <w:rPr>
          <w:rFonts w:hint="eastAsia"/>
          <w:color w:val="5B9BD5" w:themeColor="accent1"/>
          <w14:textFill>
            <w14:solidFill>
              <w14:schemeClr w14:val="accent1"/>
            </w14:solidFill>
          </w14:textFill>
        </w:rPr>
        <w:t>审批决定。现将作出的审批决定予以公告。</w:t>
      </w:r>
      <w:r>
        <w:rPr>
          <w:rFonts w:hint="eastAsia"/>
          <w:color w:val="5B9BD5" w:themeColor="accent1"/>
          <w:lang w:val="en-US" w:eastAsia="zh-CN"/>
          <w14:textFill>
            <w14:solidFill>
              <w14:schemeClr w14:val="accent1"/>
            </w14:solidFill>
          </w14:textFill>
        </w:rPr>
        <w:t>公告期：2023年12月29日—2024年1月4日（7日）</w:t>
      </w:r>
    </w:p>
    <w:p>
      <w:pPr>
        <w:ind w:firstLine="420" w:firstLineChars="200"/>
        <w:rPr>
          <w:rFonts w:hint="eastAsia"/>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pPr>
        <w:ind w:firstLine="420" w:firstLineChars="200"/>
        <w:rPr>
          <w:rFonts w:hint="eastAsia"/>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8830（周口市行政服务中心）</w:t>
      </w:r>
    </w:p>
    <w:p>
      <w:pPr>
        <w:ind w:firstLine="420" w:firstLineChars="200"/>
        <w:rPr>
          <w:rFonts w:hint="eastAsia"/>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bookmarkStart w:id="0" w:name="_GoBack"/>
      <w:bookmarkEnd w:id="0"/>
    </w:p>
    <w:p>
      <w:pPr>
        <w:rPr>
          <w:rFonts w:hint="eastAsia"/>
        </w:rPr>
      </w:pPr>
    </w:p>
    <w:tbl>
      <w:tblPr>
        <w:tblStyle w:val="4"/>
        <w:tblW w:w="13660" w:type="dxa"/>
        <w:tblInd w:w="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
      <w:tblGrid>
        <w:gridCol w:w="646"/>
        <w:gridCol w:w="7860"/>
        <w:gridCol w:w="2835"/>
        <w:gridCol w:w="23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444" w:hRule="atLeast"/>
        </w:trPr>
        <w:tc>
          <w:tcPr>
            <w:tcW w:w="646"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pPr>
              <w:pStyle w:val="3"/>
              <w:keepNext w:val="0"/>
              <w:keepLines w:val="0"/>
              <w:widowControl/>
              <w:suppressLineNumbers w:val="0"/>
              <w:spacing w:before="0" w:beforeAutospacing="1" w:after="0" w:afterAutospacing="1" w:line="300" w:lineRule="atLeast"/>
              <w:ind w:left="0" w:right="0"/>
              <w:jc w:val="both"/>
            </w:pPr>
            <w:r>
              <w:rPr>
                <w:rFonts w:hint="eastAsia" w:ascii="宋体" w:hAnsi="宋体" w:eastAsia="宋体" w:cs="宋体"/>
                <w:color w:val="0070C0"/>
                <w:sz w:val="24"/>
                <w:szCs w:val="24"/>
                <w:u w:val="none"/>
              </w:rPr>
              <w:t>序号</w:t>
            </w:r>
          </w:p>
        </w:tc>
        <w:tc>
          <w:tcPr>
            <w:tcW w:w="7860"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pPr>
              <w:pStyle w:val="3"/>
              <w:keepNext w:val="0"/>
              <w:keepLines w:val="0"/>
              <w:widowControl/>
              <w:suppressLineNumbers w:val="0"/>
              <w:spacing w:before="0" w:beforeAutospacing="1" w:after="0" w:afterAutospacing="1" w:line="240" w:lineRule="atLeast"/>
              <w:ind w:left="0" w:right="0" w:firstLine="420"/>
              <w:jc w:val="center"/>
            </w:pPr>
            <w:r>
              <w:rPr>
                <w:rFonts w:hint="eastAsia" w:ascii="宋体" w:hAnsi="宋体" w:eastAsia="宋体" w:cs="宋体"/>
                <w:color w:val="0070C0"/>
                <w:sz w:val="24"/>
                <w:szCs w:val="24"/>
                <w:u w:val="none"/>
                <w:lang w:val="en-US" w:eastAsia="zh-CN"/>
              </w:rPr>
              <w:t>环评</w:t>
            </w:r>
            <w:r>
              <w:rPr>
                <w:rFonts w:hint="eastAsia" w:ascii="宋体" w:hAnsi="宋体" w:eastAsia="宋体" w:cs="宋体"/>
                <w:color w:val="0070C0"/>
                <w:sz w:val="24"/>
                <w:szCs w:val="24"/>
                <w:u w:val="none"/>
              </w:rPr>
              <w:t>文件名称</w:t>
            </w:r>
          </w:p>
        </w:tc>
        <w:tc>
          <w:tcPr>
            <w:tcW w:w="28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pPr>
              <w:pStyle w:val="3"/>
              <w:keepNext w:val="0"/>
              <w:keepLines w:val="0"/>
              <w:widowControl/>
              <w:suppressLineNumbers w:val="0"/>
              <w:spacing w:before="0" w:beforeAutospacing="1" w:after="0" w:afterAutospacing="1" w:line="300" w:lineRule="atLeast"/>
              <w:ind w:left="0" w:right="0" w:firstLine="960" w:firstLineChars="400"/>
              <w:jc w:val="both"/>
            </w:pPr>
            <w:r>
              <w:rPr>
                <w:rFonts w:hint="eastAsia" w:ascii="宋体" w:hAnsi="宋体" w:eastAsia="宋体" w:cs="宋体"/>
                <w:color w:val="0070C0"/>
                <w:sz w:val="24"/>
                <w:szCs w:val="24"/>
                <w:u w:val="none"/>
              </w:rPr>
              <w:t>文号</w:t>
            </w:r>
          </w:p>
        </w:tc>
        <w:tc>
          <w:tcPr>
            <w:tcW w:w="2319"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pPr>
              <w:pStyle w:val="3"/>
              <w:keepNext w:val="0"/>
              <w:keepLines w:val="0"/>
              <w:widowControl/>
              <w:suppressLineNumbers w:val="0"/>
              <w:spacing w:before="0" w:beforeAutospacing="1" w:after="0" w:afterAutospacing="1" w:line="300" w:lineRule="atLeast"/>
              <w:ind w:left="0" w:right="0" w:firstLine="420"/>
              <w:jc w:val="center"/>
            </w:pPr>
            <w:r>
              <w:rPr>
                <w:rFonts w:hint="eastAsia" w:ascii="宋体" w:hAnsi="宋体" w:eastAsia="宋体" w:cs="宋体"/>
                <w:color w:val="0070C0"/>
                <w:sz w:val="24"/>
                <w:szCs w:val="24"/>
                <w:u w:val="none"/>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20" w:hRule="atLeast"/>
        </w:trPr>
        <w:tc>
          <w:tcPr>
            <w:tcW w:w="646"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1</w:t>
            </w:r>
          </w:p>
        </w:tc>
        <w:tc>
          <w:tcPr>
            <w:tcW w:w="7860"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sz w:val="24"/>
                <w:szCs w:val="24"/>
                <w:u w:val="none"/>
                <w:lang w:val="en-US" w:eastAsia="zh-CN"/>
              </w:rPr>
            </w:pPr>
            <w:r>
              <w:rPr>
                <w:rFonts w:hint="default" w:ascii="宋体" w:hAnsi="宋体" w:eastAsia="宋体" w:cs="宋体"/>
                <w:color w:val="0070C0"/>
                <w:sz w:val="24"/>
                <w:szCs w:val="24"/>
                <w:u w:val="none"/>
                <w:lang w:val="en-US" w:eastAsia="zh-CN"/>
              </w:rPr>
              <w:t>中国石化销售股份有限公司河南周口港区恒运加油站环境影响报告表</w:t>
            </w:r>
          </w:p>
        </w:tc>
        <w:tc>
          <w:tcPr>
            <w:tcW w:w="2835"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周环审〔2023〕122号</w:t>
            </w:r>
          </w:p>
        </w:tc>
        <w:tc>
          <w:tcPr>
            <w:tcW w:w="2319"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20231213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720" w:hRule="atLeast"/>
        </w:trPr>
        <w:tc>
          <w:tcPr>
            <w:tcW w:w="646"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2</w:t>
            </w:r>
          </w:p>
        </w:tc>
        <w:tc>
          <w:tcPr>
            <w:tcW w:w="7860"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sz w:val="24"/>
                <w:szCs w:val="24"/>
                <w:u w:val="none"/>
                <w:lang w:val="en-US" w:eastAsia="zh-CN"/>
              </w:rPr>
            </w:pPr>
            <w:r>
              <w:rPr>
                <w:rFonts w:hint="default" w:ascii="宋体" w:hAnsi="宋体" w:eastAsia="宋体" w:cs="宋体"/>
                <w:color w:val="0070C0"/>
                <w:sz w:val="24"/>
                <w:szCs w:val="24"/>
                <w:u w:val="none"/>
                <w:lang w:val="en-US" w:eastAsia="zh-CN"/>
              </w:rPr>
              <w:t>中国石化销售股份有限公司河南周口通达加油站环境影响报告表</w:t>
            </w:r>
          </w:p>
        </w:tc>
        <w:tc>
          <w:tcPr>
            <w:tcW w:w="2835"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周环审〔2023〕123号</w:t>
            </w:r>
          </w:p>
        </w:tc>
        <w:tc>
          <w:tcPr>
            <w:tcW w:w="2319"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20231213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20" w:hRule="atLeast"/>
        </w:trPr>
        <w:tc>
          <w:tcPr>
            <w:tcW w:w="646"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3</w:t>
            </w:r>
          </w:p>
        </w:tc>
        <w:tc>
          <w:tcPr>
            <w:tcW w:w="7860"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项城市亿能再生资源有限公司回收转运废旧电池项目环境影响报告表</w:t>
            </w:r>
          </w:p>
        </w:tc>
        <w:tc>
          <w:tcPr>
            <w:tcW w:w="2835"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周环审〔2023〕124号</w:t>
            </w:r>
          </w:p>
        </w:tc>
        <w:tc>
          <w:tcPr>
            <w:tcW w:w="2319"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20231213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20" w:hRule="atLeast"/>
        </w:trPr>
        <w:tc>
          <w:tcPr>
            <w:tcW w:w="646"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4</w:t>
            </w:r>
          </w:p>
        </w:tc>
        <w:tc>
          <w:tcPr>
            <w:tcW w:w="7860"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河南金源资源再生开发利用有限公司 3 万吨铝加工废弃物再生利用项目环境影响报告书</w:t>
            </w:r>
          </w:p>
        </w:tc>
        <w:tc>
          <w:tcPr>
            <w:tcW w:w="2835"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周环审〔2023〕126号</w:t>
            </w:r>
          </w:p>
        </w:tc>
        <w:tc>
          <w:tcPr>
            <w:tcW w:w="2319"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20231227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20" w:hRule="atLeast"/>
        </w:trPr>
        <w:tc>
          <w:tcPr>
            <w:tcW w:w="0" w:type="auto"/>
            <w:shd w:val="clear" w:color="auto" w:fill="auto"/>
          </w:tcPr>
          <w:p>
            <w:pPr>
              <w:pStyle w:val="3"/>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5</w:t>
            </w:r>
          </w:p>
        </w:tc>
        <w:tc>
          <w:tcPr>
            <w:tcW w:w="0" w:type="auto"/>
            <w:shd w:val="clear" w:color="auto" w:fill="auto"/>
          </w:tcPr>
          <w:p>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河南孟帆保温材料有限公司周口分公司年产10万米高密度聚乙烯预制保温管 (DN50-DN5000)环境影响报告表</w:t>
            </w:r>
          </w:p>
        </w:tc>
        <w:tc>
          <w:tcPr>
            <w:tcW w:w="0" w:type="auto"/>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周环审〔2023〕127号</w:t>
            </w:r>
          </w:p>
        </w:tc>
        <w:tc>
          <w:tcPr>
            <w:tcW w:w="0" w:type="auto"/>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20231228</w:t>
            </w:r>
          </w:p>
        </w:tc>
      </w:tr>
    </w:tbl>
    <w:p>
      <w:pPr>
        <w:pStyle w:val="3"/>
        <w:keepNext w:val="0"/>
        <w:keepLines w:val="0"/>
        <w:widowControl/>
        <w:suppressLineNumbers w:val="0"/>
        <w:spacing w:before="0" w:beforeAutospacing="1" w:after="0" w:afterAutospacing="1" w:line="240" w:lineRule="atLeast"/>
        <w:ind w:right="0"/>
        <w:jc w:val="left"/>
        <w:rPr>
          <w:rFonts w:hint="eastAsia" w:ascii="宋体" w:hAnsi="宋体" w:eastAsia="宋体" w:cs="宋体"/>
          <w:color w:val="0070C0"/>
          <w:sz w:val="24"/>
          <w:szCs w:val="24"/>
          <w:u w:val="none"/>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hiYTcwNGNmYWU4MmIwZTBjNWY0YmE5OThkOTU4ZDYifQ=="/>
  </w:docVars>
  <w:rsids>
    <w:rsidRoot w:val="290031FA"/>
    <w:rsid w:val="0002009A"/>
    <w:rsid w:val="00E40371"/>
    <w:rsid w:val="0130520B"/>
    <w:rsid w:val="01A4530D"/>
    <w:rsid w:val="01CF376B"/>
    <w:rsid w:val="01D90EF5"/>
    <w:rsid w:val="01FE4A8A"/>
    <w:rsid w:val="03BA09E6"/>
    <w:rsid w:val="03C10F80"/>
    <w:rsid w:val="041163FA"/>
    <w:rsid w:val="04212913"/>
    <w:rsid w:val="04EA51DC"/>
    <w:rsid w:val="056871C6"/>
    <w:rsid w:val="06575F38"/>
    <w:rsid w:val="07272588"/>
    <w:rsid w:val="08316616"/>
    <w:rsid w:val="089441E4"/>
    <w:rsid w:val="09CD4459"/>
    <w:rsid w:val="0A917054"/>
    <w:rsid w:val="0B920B9E"/>
    <w:rsid w:val="0CE04148"/>
    <w:rsid w:val="0D4162F6"/>
    <w:rsid w:val="0DD21E35"/>
    <w:rsid w:val="0DFA7836"/>
    <w:rsid w:val="0EF25823"/>
    <w:rsid w:val="0F72653A"/>
    <w:rsid w:val="107D714E"/>
    <w:rsid w:val="11262C21"/>
    <w:rsid w:val="11AC7087"/>
    <w:rsid w:val="122B49DD"/>
    <w:rsid w:val="133F0473"/>
    <w:rsid w:val="13C57E47"/>
    <w:rsid w:val="15FC15F9"/>
    <w:rsid w:val="164D5D0D"/>
    <w:rsid w:val="17082B43"/>
    <w:rsid w:val="1709155B"/>
    <w:rsid w:val="184F21A6"/>
    <w:rsid w:val="186508BD"/>
    <w:rsid w:val="19221B08"/>
    <w:rsid w:val="1A476498"/>
    <w:rsid w:val="1AE82D60"/>
    <w:rsid w:val="1B2B6497"/>
    <w:rsid w:val="1B6D6B2F"/>
    <w:rsid w:val="1C243F9D"/>
    <w:rsid w:val="1C973644"/>
    <w:rsid w:val="1DB951B5"/>
    <w:rsid w:val="1FDF78C6"/>
    <w:rsid w:val="20182E2F"/>
    <w:rsid w:val="208964F1"/>
    <w:rsid w:val="20DF1060"/>
    <w:rsid w:val="21DA6FF0"/>
    <w:rsid w:val="220D65DB"/>
    <w:rsid w:val="230C5581"/>
    <w:rsid w:val="267D3CEC"/>
    <w:rsid w:val="290031FA"/>
    <w:rsid w:val="29A6249B"/>
    <w:rsid w:val="2A1007A8"/>
    <w:rsid w:val="2AEA736F"/>
    <w:rsid w:val="2C5F224B"/>
    <w:rsid w:val="2CD021C7"/>
    <w:rsid w:val="2D497A59"/>
    <w:rsid w:val="2D651155"/>
    <w:rsid w:val="2D952389"/>
    <w:rsid w:val="2DA57AB6"/>
    <w:rsid w:val="2F14576D"/>
    <w:rsid w:val="301C25EA"/>
    <w:rsid w:val="321F7884"/>
    <w:rsid w:val="329649F1"/>
    <w:rsid w:val="32BA3E37"/>
    <w:rsid w:val="334F17BC"/>
    <w:rsid w:val="336B3FE0"/>
    <w:rsid w:val="337E5034"/>
    <w:rsid w:val="358207C3"/>
    <w:rsid w:val="36513C5F"/>
    <w:rsid w:val="36B0540E"/>
    <w:rsid w:val="36E91F6E"/>
    <w:rsid w:val="381A04E2"/>
    <w:rsid w:val="38A46601"/>
    <w:rsid w:val="3A464870"/>
    <w:rsid w:val="3A6660E7"/>
    <w:rsid w:val="3CE525F6"/>
    <w:rsid w:val="3D000129"/>
    <w:rsid w:val="3DB4772B"/>
    <w:rsid w:val="3E515B32"/>
    <w:rsid w:val="3EC076A3"/>
    <w:rsid w:val="3F4868EF"/>
    <w:rsid w:val="415969A6"/>
    <w:rsid w:val="42A140E5"/>
    <w:rsid w:val="432969AF"/>
    <w:rsid w:val="441F7EFA"/>
    <w:rsid w:val="447A79BE"/>
    <w:rsid w:val="44BA2CA7"/>
    <w:rsid w:val="44CF11DC"/>
    <w:rsid w:val="44E9395C"/>
    <w:rsid w:val="45953FBD"/>
    <w:rsid w:val="46005B46"/>
    <w:rsid w:val="468906DF"/>
    <w:rsid w:val="474D76C5"/>
    <w:rsid w:val="48054C3B"/>
    <w:rsid w:val="487D358E"/>
    <w:rsid w:val="488747D8"/>
    <w:rsid w:val="4A692E25"/>
    <w:rsid w:val="4AE3085F"/>
    <w:rsid w:val="4BAE290A"/>
    <w:rsid w:val="4BEA749D"/>
    <w:rsid w:val="4E1563BE"/>
    <w:rsid w:val="4E4E4FD9"/>
    <w:rsid w:val="4EC06308"/>
    <w:rsid w:val="4EE962C0"/>
    <w:rsid w:val="51475CAE"/>
    <w:rsid w:val="5285772D"/>
    <w:rsid w:val="55C07312"/>
    <w:rsid w:val="58BD382F"/>
    <w:rsid w:val="5970548F"/>
    <w:rsid w:val="59C62879"/>
    <w:rsid w:val="5A2C127B"/>
    <w:rsid w:val="5ADA2553"/>
    <w:rsid w:val="5B06501F"/>
    <w:rsid w:val="5B36499B"/>
    <w:rsid w:val="5D2D0ED7"/>
    <w:rsid w:val="5D916D44"/>
    <w:rsid w:val="5ECB717A"/>
    <w:rsid w:val="5EF857BB"/>
    <w:rsid w:val="60535034"/>
    <w:rsid w:val="60B54C12"/>
    <w:rsid w:val="63AF1CD9"/>
    <w:rsid w:val="645D7027"/>
    <w:rsid w:val="651B3110"/>
    <w:rsid w:val="65202904"/>
    <w:rsid w:val="661D2EEC"/>
    <w:rsid w:val="688921F5"/>
    <w:rsid w:val="68B31E17"/>
    <w:rsid w:val="68E30BBD"/>
    <w:rsid w:val="6B257326"/>
    <w:rsid w:val="6C693483"/>
    <w:rsid w:val="6C820709"/>
    <w:rsid w:val="6CC63A54"/>
    <w:rsid w:val="6D25417C"/>
    <w:rsid w:val="6D6B05E8"/>
    <w:rsid w:val="6D972E2F"/>
    <w:rsid w:val="6EA80DA5"/>
    <w:rsid w:val="6F3A65C3"/>
    <w:rsid w:val="6F453230"/>
    <w:rsid w:val="6F6D277E"/>
    <w:rsid w:val="6FD00713"/>
    <w:rsid w:val="703A2AF5"/>
    <w:rsid w:val="70835F64"/>
    <w:rsid w:val="710C6403"/>
    <w:rsid w:val="71B2063B"/>
    <w:rsid w:val="72654CFD"/>
    <w:rsid w:val="731B1AE3"/>
    <w:rsid w:val="74463731"/>
    <w:rsid w:val="759A3FF3"/>
    <w:rsid w:val="76215BE7"/>
    <w:rsid w:val="762B3F3F"/>
    <w:rsid w:val="76494835"/>
    <w:rsid w:val="767F6270"/>
    <w:rsid w:val="76A91466"/>
    <w:rsid w:val="7725519C"/>
    <w:rsid w:val="77F10CCF"/>
    <w:rsid w:val="78412A9E"/>
    <w:rsid w:val="784B4769"/>
    <w:rsid w:val="78E37D15"/>
    <w:rsid w:val="796D7E5D"/>
    <w:rsid w:val="7A326E02"/>
    <w:rsid w:val="7A4C1398"/>
    <w:rsid w:val="7A6274BE"/>
    <w:rsid w:val="7AD97D7C"/>
    <w:rsid w:val="7AF36613"/>
    <w:rsid w:val="7B16458E"/>
    <w:rsid w:val="7B2976E4"/>
    <w:rsid w:val="7B9A6B3C"/>
    <w:rsid w:val="7B9E0813"/>
    <w:rsid w:val="7BC84BE9"/>
    <w:rsid w:val="7C5D731B"/>
    <w:rsid w:val="7C695EE4"/>
    <w:rsid w:val="7CA44CF6"/>
    <w:rsid w:val="7D071B33"/>
    <w:rsid w:val="7DEC6F98"/>
    <w:rsid w:val="7E9202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pPr>
    <w:rPr>
      <w:rFonts w:hint="eastAsia" w:ascii="宋体" w:hAnsi="宋体" w:eastAsia="宋体" w:cs="宋体"/>
      <w:b/>
      <w:kern w:val="44"/>
      <w:sz w:val="48"/>
      <w:szCs w:val="48"/>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Strong"/>
    <w:basedOn w:val="6"/>
    <w:qFormat/>
    <w:uiPriority w:val="0"/>
    <w:rPr>
      <w:b/>
    </w:rPr>
  </w:style>
  <w:style w:type="character" w:styleId="8">
    <w:name w:val="FollowedHyperlink"/>
    <w:basedOn w:val="6"/>
    <w:qFormat/>
    <w:uiPriority w:val="0"/>
    <w:rPr>
      <w:color w:val="000000"/>
      <w:sz w:val="18"/>
      <w:szCs w:val="18"/>
      <w:u w:val="none"/>
    </w:rPr>
  </w:style>
  <w:style w:type="character" w:styleId="9">
    <w:name w:val="Hyperlink"/>
    <w:basedOn w:val="6"/>
    <w:autoRedefine/>
    <w:qFormat/>
    <w:uiPriority w:val="0"/>
    <w:rPr>
      <w:color w:val="000000"/>
      <w:sz w:val="18"/>
      <w:szCs w:val="18"/>
      <w:u w:val="none"/>
    </w:rPr>
  </w:style>
  <w:style w:type="paragraph" w:customStyle="1" w:styleId="10">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543</Words>
  <Characters>647</Characters>
  <Lines>0</Lines>
  <Paragraphs>0</Paragraphs>
  <TotalTime>7</TotalTime>
  <ScaleCrop>false</ScaleCrop>
  <LinksUpToDate>false</LinksUpToDate>
  <CharactersWithSpaces>651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赵博涛</cp:lastModifiedBy>
  <dcterms:modified xsi:type="dcterms:W3CDTF">2024-01-03T03:11:43Z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342AF4E7EA8541C287BA32A11099ABA9_13</vt:lpwstr>
  </property>
</Properties>
</file>