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71B083">
      <w:pPr>
        <w:widowControl/>
        <w:shd w:val="clear" w:color="auto" w:fill="FFFFFF"/>
        <w:spacing w:line="750" w:lineRule="atLeast"/>
        <w:jc w:val="center"/>
        <w:rPr>
          <w:rFonts w:hint="eastAsia" w:ascii="仿宋" w:hAnsi="仿宋" w:eastAsia="仿宋" w:cs="仿宋"/>
          <w:color w:val="FF0000"/>
          <w:kern w:val="0"/>
          <w:sz w:val="36"/>
          <w:szCs w:val="36"/>
        </w:rPr>
      </w:pPr>
      <w:r>
        <w:rPr>
          <w:rFonts w:hint="eastAsia" w:ascii="仿宋" w:hAnsi="仿宋" w:eastAsia="仿宋" w:cs="仿宋"/>
          <w:b/>
          <w:bCs/>
          <w:color w:val="FF0000"/>
          <w:kern w:val="0"/>
          <w:sz w:val="36"/>
          <w:szCs w:val="36"/>
        </w:rPr>
        <w:t>周口市生态环境局</w:t>
      </w:r>
      <w:r>
        <w:rPr>
          <w:rFonts w:hint="eastAsia" w:ascii="仿宋" w:hAnsi="仿宋" w:eastAsia="仿宋" w:cs="仿宋"/>
          <w:b/>
          <w:bCs/>
          <w:color w:val="FF0000"/>
          <w:kern w:val="0"/>
          <w:sz w:val="36"/>
          <w:szCs w:val="36"/>
          <w:lang w:eastAsia="zh-CN"/>
        </w:rPr>
        <w:t>西华分局</w:t>
      </w:r>
      <w:r>
        <w:rPr>
          <w:rFonts w:hint="eastAsia" w:ascii="仿宋" w:hAnsi="仿宋" w:eastAsia="仿宋" w:cs="仿宋"/>
          <w:b/>
          <w:bCs/>
          <w:color w:val="FF0000"/>
          <w:kern w:val="0"/>
          <w:sz w:val="36"/>
          <w:szCs w:val="36"/>
        </w:rPr>
        <w:t>关于</w:t>
      </w:r>
      <w:r>
        <w:rPr>
          <w:rFonts w:hint="eastAsia" w:ascii="仿宋" w:hAnsi="仿宋" w:eastAsia="仿宋" w:cs="仿宋"/>
          <w:b/>
          <w:bCs/>
          <w:color w:val="FF0000"/>
          <w:kern w:val="0"/>
          <w:sz w:val="36"/>
          <w:szCs w:val="36"/>
          <w:lang w:val="en-US" w:eastAsia="zh-CN"/>
        </w:rPr>
        <w:t>2025年01月17日对</w:t>
      </w:r>
      <w:r>
        <w:rPr>
          <w:rFonts w:hint="eastAsia" w:ascii="仿宋" w:hAnsi="仿宋" w:eastAsia="仿宋" w:cs="仿宋"/>
          <w:b/>
          <w:bCs/>
          <w:color w:val="FF0000"/>
          <w:kern w:val="0"/>
          <w:sz w:val="36"/>
          <w:szCs w:val="36"/>
          <w:lang w:eastAsia="zh-CN"/>
        </w:rPr>
        <w:t>河南耕亿达年产6000万支智能零部件生产建设项目（</w:t>
      </w:r>
      <w:r>
        <w:rPr>
          <w:rFonts w:hint="eastAsia" w:ascii="仿宋" w:hAnsi="仿宋" w:eastAsia="仿宋" w:cs="仿宋"/>
          <w:b/>
          <w:bCs/>
          <w:color w:val="FF0000"/>
          <w:kern w:val="0"/>
          <w:sz w:val="36"/>
          <w:szCs w:val="36"/>
          <w:lang w:val="en-US" w:eastAsia="zh-CN"/>
        </w:rPr>
        <w:t>告知承诺制</w:t>
      </w:r>
      <w:r>
        <w:rPr>
          <w:rFonts w:hint="eastAsia" w:ascii="仿宋" w:hAnsi="仿宋" w:eastAsia="仿宋" w:cs="仿宋"/>
          <w:b/>
          <w:bCs/>
          <w:color w:val="FF0000"/>
          <w:kern w:val="0"/>
          <w:sz w:val="36"/>
          <w:szCs w:val="36"/>
          <w:lang w:eastAsia="zh-CN"/>
        </w:rPr>
        <w:t>）</w:t>
      </w:r>
      <w:r>
        <w:rPr>
          <w:rFonts w:hint="eastAsia" w:ascii="仿宋" w:hAnsi="仿宋" w:eastAsia="仿宋" w:cs="仿宋"/>
          <w:b/>
          <w:bCs/>
          <w:color w:val="FF0000"/>
          <w:kern w:val="0"/>
          <w:sz w:val="36"/>
          <w:szCs w:val="36"/>
        </w:rPr>
        <w:t>环境影响评价文件作出</w:t>
      </w:r>
      <w:r>
        <w:rPr>
          <w:rFonts w:hint="eastAsia" w:ascii="仿宋" w:hAnsi="仿宋" w:eastAsia="仿宋" w:cs="仿宋"/>
          <w:b/>
          <w:bCs/>
          <w:color w:val="FF0000"/>
          <w:kern w:val="0"/>
          <w:sz w:val="36"/>
          <w:szCs w:val="36"/>
          <w:lang w:val="en-US" w:eastAsia="zh-CN"/>
        </w:rPr>
        <w:t>受理拟</w:t>
      </w:r>
      <w:r>
        <w:rPr>
          <w:rFonts w:hint="eastAsia" w:ascii="仿宋" w:hAnsi="仿宋" w:eastAsia="仿宋" w:cs="仿宋"/>
          <w:b/>
          <w:bCs/>
          <w:color w:val="FF0000"/>
          <w:kern w:val="0"/>
          <w:sz w:val="36"/>
          <w:szCs w:val="36"/>
        </w:rPr>
        <w:t>审批意见的公示</w:t>
      </w:r>
    </w:p>
    <w:p w14:paraId="41070600">
      <w:pPr>
        <w:widowControl/>
        <w:shd w:val="clear" w:color="auto" w:fill="FFFFFF"/>
        <w:spacing w:line="525" w:lineRule="atLeast"/>
        <w:ind w:firstLine="1125"/>
        <w:jc w:val="center"/>
        <w:rPr>
          <w:rFonts w:hint="default" w:ascii="Times New Roman" w:hAnsi="Times New Roman" w:eastAsia="微软雅黑" w:cs="Times New Roman"/>
          <w:color w:val="000000"/>
          <w:kern w:val="0"/>
          <w:sz w:val="24"/>
          <w:szCs w:val="24"/>
        </w:rPr>
      </w:pPr>
      <w:r>
        <w:rPr>
          <w:rFonts w:hint="default" w:ascii="Times New Roman" w:hAnsi="Times New Roman" w:eastAsia="微软雅黑" w:cs="Times New Roman"/>
          <w:color w:val="000000"/>
          <w:kern w:val="0"/>
          <w:sz w:val="24"/>
          <w:szCs w:val="24"/>
        </w:rPr>
        <w:t> </w:t>
      </w:r>
    </w:p>
    <w:p w14:paraId="081E2044">
      <w:pPr>
        <w:widowControl/>
        <w:shd w:val="clear" w:color="auto" w:fill="FFFFFF"/>
        <w:spacing w:line="360" w:lineRule="auto"/>
        <w:ind w:firstLine="720"/>
        <w:rPr>
          <w:rFonts w:hint="eastAsia" w:ascii="宋体" w:hAnsi="宋体" w:eastAsia="宋体" w:cs="宋体"/>
          <w:color w:val="auto"/>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根据建设项目环境影响评价审批程序的有关规定，经</w:t>
      </w:r>
      <w:r>
        <w:rPr>
          <w:rFonts w:hint="eastAsia" w:ascii="宋体" w:hAnsi="宋体" w:eastAsia="宋体" w:cs="宋体"/>
          <w:color w:val="auto"/>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审议，我局拟对</w:t>
      </w:r>
      <w:r>
        <w:rPr>
          <w:rFonts w:hint="eastAsia" w:ascii="宋体" w:hAnsi="宋体" w:eastAsia="宋体" w:cs="宋体"/>
          <w:color w:val="auto"/>
          <w:kern w:val="0"/>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河南耕亿达年产6000万支智能零部件生产建设项目（</w:t>
      </w:r>
      <w:r>
        <w:rPr>
          <w:rFonts w:hint="eastAsia" w:ascii="宋体" w:hAnsi="宋体" w:eastAsia="宋体" w:cs="宋体"/>
          <w:color w:val="auto"/>
          <w:kern w:val="0"/>
          <w:sz w:val="24"/>
          <w:szCs w:val="24"/>
          <w:lang w:val="en-US"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告知承诺制</w:t>
      </w:r>
      <w:r>
        <w:rPr>
          <w:rFonts w:hint="eastAsia" w:ascii="宋体" w:hAnsi="宋体" w:eastAsia="宋体" w:cs="宋体"/>
          <w:color w:val="auto"/>
          <w:kern w:val="0"/>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w:t>
      </w:r>
      <w:r>
        <w:rPr>
          <w:rFonts w:hint="eastAsia" w:ascii="宋体" w:hAnsi="宋体" w:eastAsia="宋体" w:cs="宋体"/>
          <w:color w:val="auto"/>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环境影响评价文件</w:t>
      </w:r>
      <w:r>
        <w:rPr>
          <w:rFonts w:hint="eastAsia" w:ascii="宋体" w:hAnsi="宋体" w:eastAsia="宋体" w:cs="宋体"/>
          <w:color w:val="auto"/>
          <w:kern w:val="0"/>
          <w:sz w:val="24"/>
          <w:szCs w:val="24"/>
          <w:lang w:val="en-US"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进行受理、</w:t>
      </w:r>
      <w:r>
        <w:rPr>
          <w:rFonts w:hint="eastAsia" w:ascii="宋体" w:hAnsi="宋体" w:eastAsia="宋体" w:cs="宋体"/>
          <w:color w:val="auto"/>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作出</w:t>
      </w:r>
      <w:r>
        <w:rPr>
          <w:rFonts w:hint="eastAsia" w:ascii="宋体" w:hAnsi="宋体" w:eastAsia="宋体" w:cs="宋体"/>
          <w:color w:val="auto"/>
          <w:kern w:val="0"/>
          <w:sz w:val="24"/>
          <w:szCs w:val="24"/>
          <w:lang w:val="en-US"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拟</w:t>
      </w:r>
      <w:bookmarkStart w:id="0" w:name="_GoBack"/>
      <w:bookmarkEnd w:id="0"/>
      <w:r>
        <w:rPr>
          <w:rFonts w:hint="eastAsia" w:ascii="宋体" w:hAnsi="宋体" w:eastAsia="宋体" w:cs="宋体"/>
          <w:color w:val="auto"/>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审批意见。为保证审批意见的严肃性和公正性，现将建设项目环境影响评价文件的基本情况予以公示。如有异议，请在公示期内反馈我局行政审批股。</w:t>
      </w:r>
      <w:r>
        <w:rPr>
          <w:rFonts w:hint="eastAsia" w:ascii="宋体" w:hAnsi="宋体" w:eastAsia="宋体" w:cs="宋体"/>
          <w:color w:val="auto"/>
          <w:spacing w:val="15"/>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公示期为</w:t>
      </w:r>
      <w:r>
        <w:rPr>
          <w:rFonts w:hint="eastAsia" w:ascii="宋体" w:hAnsi="宋体" w:eastAsia="宋体" w:cs="宋体"/>
          <w:color w:val="FF0000"/>
          <w:spacing w:val="15"/>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202</w:t>
      </w:r>
      <w:r>
        <w:rPr>
          <w:rFonts w:hint="eastAsia" w:ascii="宋体" w:hAnsi="宋体" w:eastAsia="宋体" w:cs="宋体"/>
          <w:color w:val="FF0000"/>
          <w:spacing w:val="15"/>
          <w:kern w:val="0"/>
          <w:sz w:val="24"/>
          <w:szCs w:val="24"/>
          <w:lang w:val="en-US"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5</w:t>
      </w:r>
      <w:r>
        <w:rPr>
          <w:rFonts w:hint="eastAsia" w:ascii="宋体" w:hAnsi="宋体" w:eastAsia="宋体" w:cs="宋体"/>
          <w:color w:val="FF0000"/>
          <w:spacing w:val="15"/>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年</w:t>
      </w:r>
      <w:r>
        <w:rPr>
          <w:rFonts w:hint="eastAsia" w:ascii="宋体" w:hAnsi="宋体" w:eastAsia="宋体" w:cs="宋体"/>
          <w:color w:val="FF0000"/>
          <w:spacing w:val="15"/>
          <w:kern w:val="0"/>
          <w:sz w:val="24"/>
          <w:szCs w:val="24"/>
          <w:lang w:val="en-US"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01</w:t>
      </w:r>
      <w:r>
        <w:rPr>
          <w:rFonts w:hint="eastAsia" w:ascii="宋体" w:hAnsi="宋体" w:eastAsia="宋体" w:cs="宋体"/>
          <w:color w:val="FF0000"/>
          <w:spacing w:val="15"/>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月</w:t>
      </w:r>
      <w:r>
        <w:rPr>
          <w:rFonts w:hint="eastAsia" w:ascii="宋体" w:hAnsi="宋体" w:eastAsia="宋体" w:cs="宋体"/>
          <w:color w:val="FF0000"/>
          <w:spacing w:val="15"/>
          <w:kern w:val="0"/>
          <w:sz w:val="24"/>
          <w:szCs w:val="24"/>
          <w:lang w:val="en-US"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17</w:t>
      </w:r>
      <w:r>
        <w:rPr>
          <w:rFonts w:hint="eastAsia" w:ascii="宋体" w:hAnsi="宋体" w:eastAsia="宋体" w:cs="宋体"/>
          <w:color w:val="FF0000"/>
          <w:spacing w:val="15"/>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日－202</w:t>
      </w:r>
      <w:r>
        <w:rPr>
          <w:rFonts w:hint="eastAsia" w:ascii="宋体" w:hAnsi="宋体" w:eastAsia="宋体" w:cs="宋体"/>
          <w:color w:val="FF0000"/>
          <w:spacing w:val="15"/>
          <w:kern w:val="0"/>
          <w:sz w:val="24"/>
          <w:szCs w:val="24"/>
          <w:lang w:val="en-US"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4</w:t>
      </w:r>
      <w:r>
        <w:rPr>
          <w:rFonts w:hint="eastAsia" w:ascii="宋体" w:hAnsi="宋体" w:eastAsia="宋体" w:cs="宋体"/>
          <w:color w:val="FF0000"/>
          <w:spacing w:val="15"/>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年</w:t>
      </w:r>
      <w:r>
        <w:rPr>
          <w:rFonts w:hint="eastAsia" w:ascii="宋体" w:hAnsi="宋体" w:eastAsia="宋体" w:cs="宋体"/>
          <w:color w:val="FF0000"/>
          <w:spacing w:val="15"/>
          <w:kern w:val="0"/>
          <w:sz w:val="24"/>
          <w:szCs w:val="24"/>
          <w:lang w:val="en-US"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01</w:t>
      </w:r>
      <w:r>
        <w:rPr>
          <w:rFonts w:hint="eastAsia" w:ascii="宋体" w:hAnsi="宋体" w:eastAsia="宋体" w:cs="宋体"/>
          <w:color w:val="FF0000"/>
          <w:spacing w:val="15"/>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月</w:t>
      </w:r>
      <w:r>
        <w:rPr>
          <w:rFonts w:hint="eastAsia" w:ascii="宋体" w:hAnsi="宋体" w:eastAsia="宋体" w:cs="宋体"/>
          <w:color w:val="FF0000"/>
          <w:spacing w:val="15"/>
          <w:kern w:val="0"/>
          <w:sz w:val="24"/>
          <w:szCs w:val="24"/>
          <w:lang w:val="en-US"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23</w:t>
      </w:r>
      <w:r>
        <w:rPr>
          <w:rFonts w:hint="eastAsia" w:ascii="宋体" w:hAnsi="宋体" w:eastAsia="宋体" w:cs="宋体"/>
          <w:color w:val="FF0000"/>
          <w:spacing w:val="15"/>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日</w:t>
      </w:r>
      <w:r>
        <w:rPr>
          <w:rFonts w:hint="eastAsia" w:ascii="宋体" w:hAnsi="宋体" w:eastAsia="宋体" w:cs="宋体"/>
          <w:color w:val="auto"/>
          <w:spacing w:val="15"/>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w:t>
      </w:r>
    </w:p>
    <w:p w14:paraId="4E901F2C">
      <w:pPr>
        <w:widowControl/>
        <w:shd w:val="clear" w:color="auto" w:fill="FFFFFF"/>
        <w:spacing w:line="360" w:lineRule="auto"/>
        <w:ind w:firstLine="601"/>
        <w:rPr>
          <w:rFonts w:hint="eastAsia" w:ascii="宋体" w:hAnsi="宋体" w:eastAsia="宋体" w:cs="宋体"/>
          <w:color w:val="auto"/>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auto"/>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     电话：0394-2533775</w:t>
      </w:r>
    </w:p>
    <w:p w14:paraId="0F340A33">
      <w:pPr>
        <w:widowControl/>
        <w:shd w:val="clear" w:color="auto" w:fill="FFFFFF"/>
        <w:spacing w:line="360" w:lineRule="auto"/>
        <w:ind w:firstLine="601"/>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通讯地址：长平路与中华路交叉口路东西华县政务服务中心二楼东</w:t>
      </w:r>
    </w:p>
    <w:p w14:paraId="1596F4DA">
      <w:pPr>
        <w:widowControl/>
        <w:shd w:val="clear" w:color="auto" w:fill="FFFFFF"/>
        <w:spacing w:line="360" w:lineRule="auto"/>
        <w:ind w:firstLine="601"/>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 xml:space="preserve"> 听证告知：依据《中华人民共和国行政许可法》，自公示起五个工作日内申请人、有重大利益关系的利害关系人可对以下拟作出的建设项目环境影响评价文件批复决定要求听证。</w:t>
      </w:r>
    </w:p>
    <w:p w14:paraId="0C3DABE3">
      <w:pPr>
        <w:widowControl/>
        <w:shd w:val="clear" w:color="auto" w:fill="FFFFFF"/>
        <w:jc w:val="cente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p>
    <w:p w14:paraId="27950111">
      <w:pPr>
        <w:widowControl/>
        <w:shd w:val="clear" w:color="auto" w:fill="FFFFFF"/>
        <w:jc w:val="cente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拟审批的建设项目环境影响报告表</w:t>
      </w:r>
    </w:p>
    <w:tbl>
      <w:tblPr>
        <w:tblStyle w:val="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autofit"/>
        <w:tblCellMar>
          <w:top w:w="0" w:type="dxa"/>
          <w:left w:w="0" w:type="dxa"/>
          <w:bottom w:w="0" w:type="dxa"/>
          <w:right w:w="0" w:type="dxa"/>
        </w:tblCellMar>
      </w:tblPr>
      <w:tblGrid>
        <w:gridCol w:w="516"/>
        <w:gridCol w:w="1364"/>
        <w:gridCol w:w="1228"/>
        <w:gridCol w:w="1140"/>
        <w:gridCol w:w="1937"/>
        <w:gridCol w:w="1296"/>
        <w:gridCol w:w="5742"/>
        <w:gridCol w:w="951"/>
      </w:tblGrid>
      <w:tr w14:paraId="344AEC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trPr>
        <w:tc>
          <w:tcPr>
            <w:tcW w:w="182" w:type="pct"/>
            <w:shd w:val="clear" w:color="auto" w:fill="FFFFFF"/>
            <w:tcMar>
              <w:top w:w="0" w:type="dxa"/>
              <w:left w:w="108" w:type="dxa"/>
              <w:bottom w:w="0" w:type="dxa"/>
              <w:right w:w="108" w:type="dxa"/>
            </w:tcMar>
            <w:vAlign w:val="center"/>
          </w:tcPr>
          <w:p w14:paraId="6A6616E7">
            <w:pPr>
              <w:widowControl/>
              <w:jc w:val="cente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序号</w:t>
            </w:r>
          </w:p>
        </w:tc>
        <w:tc>
          <w:tcPr>
            <w:tcW w:w="481" w:type="pct"/>
            <w:shd w:val="clear" w:color="auto" w:fill="FFFFFF"/>
            <w:tcMar>
              <w:top w:w="0" w:type="dxa"/>
              <w:left w:w="108" w:type="dxa"/>
              <w:bottom w:w="0" w:type="dxa"/>
              <w:right w:w="108" w:type="dxa"/>
            </w:tcMar>
            <w:vAlign w:val="center"/>
          </w:tcPr>
          <w:p w14:paraId="0101F2C1">
            <w:pPr>
              <w:widowControl/>
              <w:jc w:val="cente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项目名称</w:t>
            </w:r>
          </w:p>
        </w:tc>
        <w:tc>
          <w:tcPr>
            <w:tcW w:w="433" w:type="pct"/>
            <w:shd w:val="clear" w:color="auto" w:fill="FFFFFF"/>
            <w:tcMar>
              <w:top w:w="0" w:type="dxa"/>
              <w:left w:w="108" w:type="dxa"/>
              <w:bottom w:w="0" w:type="dxa"/>
              <w:right w:w="108" w:type="dxa"/>
            </w:tcMar>
            <w:vAlign w:val="center"/>
          </w:tcPr>
          <w:p w14:paraId="713DB931">
            <w:pPr>
              <w:widowControl/>
              <w:jc w:val="cente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建设地点</w:t>
            </w:r>
          </w:p>
        </w:tc>
        <w:tc>
          <w:tcPr>
            <w:tcW w:w="402" w:type="pct"/>
            <w:shd w:val="clear" w:color="auto" w:fill="FFFFFF"/>
            <w:tcMar>
              <w:top w:w="0" w:type="dxa"/>
              <w:left w:w="108" w:type="dxa"/>
              <w:bottom w:w="0" w:type="dxa"/>
              <w:right w:w="108" w:type="dxa"/>
            </w:tcMar>
            <w:vAlign w:val="center"/>
          </w:tcPr>
          <w:p w14:paraId="7E3AD710">
            <w:pPr>
              <w:widowControl/>
              <w:jc w:val="cente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建设单位</w:t>
            </w:r>
          </w:p>
        </w:tc>
        <w:tc>
          <w:tcPr>
            <w:tcW w:w="683" w:type="pct"/>
            <w:shd w:val="clear" w:color="auto" w:fill="FFFFFF"/>
            <w:tcMar>
              <w:top w:w="0" w:type="dxa"/>
              <w:left w:w="108" w:type="dxa"/>
              <w:bottom w:w="0" w:type="dxa"/>
              <w:right w:w="108" w:type="dxa"/>
            </w:tcMar>
            <w:vAlign w:val="center"/>
          </w:tcPr>
          <w:p w14:paraId="08EA8F82">
            <w:pPr>
              <w:widowControl/>
              <w:jc w:val="cente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建设项目概况</w:t>
            </w:r>
          </w:p>
        </w:tc>
        <w:tc>
          <w:tcPr>
            <w:tcW w:w="457" w:type="pct"/>
            <w:shd w:val="clear" w:color="auto" w:fill="FFFFFF"/>
            <w:tcMar>
              <w:top w:w="0" w:type="dxa"/>
              <w:left w:w="108" w:type="dxa"/>
              <w:bottom w:w="0" w:type="dxa"/>
              <w:right w:w="108" w:type="dxa"/>
            </w:tcMar>
            <w:vAlign w:val="center"/>
          </w:tcPr>
          <w:p w14:paraId="2FFC987A">
            <w:pPr>
              <w:widowControl/>
              <w:jc w:val="cente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环境影响评</w:t>
            </w:r>
          </w:p>
          <w:p w14:paraId="692554A6">
            <w:pPr>
              <w:widowControl/>
              <w:jc w:val="cente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价机构</w:t>
            </w:r>
          </w:p>
        </w:tc>
        <w:tc>
          <w:tcPr>
            <w:tcW w:w="2024" w:type="pct"/>
            <w:shd w:val="clear" w:color="auto" w:fill="FFFFFF"/>
            <w:tcMar>
              <w:top w:w="0" w:type="dxa"/>
              <w:left w:w="108" w:type="dxa"/>
              <w:bottom w:w="0" w:type="dxa"/>
              <w:right w:w="108" w:type="dxa"/>
            </w:tcMar>
            <w:vAlign w:val="center"/>
          </w:tcPr>
          <w:p w14:paraId="3F3CCDA5">
            <w:pPr>
              <w:widowControl/>
              <w:jc w:val="center"/>
              <w:rPr>
                <w:rFonts w:hint="eastAsia" w:ascii="宋体" w:hAnsi="宋体" w:eastAsia="宋体" w:cs="宋体"/>
                <w:color w:val="auto"/>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auto"/>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主要环境影响及预防或减轻不良环境影响的对策和措施</w:t>
            </w:r>
          </w:p>
        </w:tc>
        <w:tc>
          <w:tcPr>
            <w:tcW w:w="335" w:type="pct"/>
            <w:shd w:val="clear" w:color="auto" w:fill="FFFFFF"/>
            <w:tcMar>
              <w:top w:w="0" w:type="dxa"/>
              <w:left w:w="108" w:type="dxa"/>
              <w:bottom w:w="0" w:type="dxa"/>
              <w:right w:w="108" w:type="dxa"/>
            </w:tcMar>
            <w:vAlign w:val="center"/>
          </w:tcPr>
          <w:p w14:paraId="2E09CAD8">
            <w:pPr>
              <w:widowControl/>
              <w:jc w:val="center"/>
              <w:rPr>
                <w:rFonts w:hint="eastAsia" w:ascii="宋体" w:hAnsi="宋体" w:eastAsia="宋体" w:cs="宋体"/>
                <w:color w:val="auto"/>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auto"/>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公众参与情况</w:t>
            </w:r>
          </w:p>
        </w:tc>
      </w:tr>
      <w:tr w14:paraId="5A6D7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550" w:hRule="atLeast"/>
        </w:trPr>
        <w:tc>
          <w:tcPr>
            <w:tcW w:w="182" w:type="pct"/>
            <w:shd w:val="clear" w:color="auto" w:fill="FFFFFF"/>
            <w:tcMar>
              <w:top w:w="0" w:type="dxa"/>
              <w:left w:w="108" w:type="dxa"/>
              <w:bottom w:w="0" w:type="dxa"/>
              <w:right w:w="108" w:type="dxa"/>
            </w:tcMar>
            <w:vAlign w:val="center"/>
          </w:tcPr>
          <w:p w14:paraId="35BD754D">
            <w:pPr>
              <w:widowControl/>
              <w:jc w:val="cente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1</w:t>
            </w:r>
          </w:p>
        </w:tc>
        <w:tc>
          <w:tcPr>
            <w:tcW w:w="1364" w:type="dxa"/>
            <w:shd w:val="clear" w:color="auto" w:fill="FFFFFF"/>
            <w:tcMar>
              <w:top w:w="0" w:type="dxa"/>
              <w:left w:w="108" w:type="dxa"/>
              <w:bottom w:w="0" w:type="dxa"/>
              <w:right w:w="108" w:type="dxa"/>
            </w:tcMar>
            <w:vAlign w:val="center"/>
          </w:tcPr>
          <w:p w14:paraId="2B47801F">
            <w:pPr>
              <w:widowControl/>
              <w:adjustRightInd w:val="0"/>
              <w:snapToGrid w:val="0"/>
              <w:spacing w:line="240" w:lineRule="auto"/>
              <w:jc w:val="center"/>
              <w:rPr>
                <w:rFonts w:hint="eastAsia" w:ascii="宋体" w:hAnsi="宋体" w:eastAsia="宋体" w:cs="宋体"/>
                <w:color w:val="000000"/>
                <w:kern w:val="0"/>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河南耕亿达年产6000万支智能零部件生产建设项目</w:t>
            </w:r>
          </w:p>
        </w:tc>
        <w:tc>
          <w:tcPr>
            <w:tcW w:w="1228" w:type="dxa"/>
            <w:shd w:val="clear" w:color="auto" w:fill="FFFFFF"/>
            <w:tcMar>
              <w:top w:w="0" w:type="dxa"/>
              <w:left w:w="108" w:type="dxa"/>
              <w:bottom w:w="0" w:type="dxa"/>
              <w:right w:w="108" w:type="dxa"/>
            </w:tcMar>
            <w:vAlign w:val="center"/>
          </w:tcPr>
          <w:p w14:paraId="72E4CD16">
            <w:pPr>
              <w:widowControl/>
              <w:adjustRightInd w:val="0"/>
              <w:snapToGrid w:val="0"/>
              <w:spacing w:line="240" w:lineRule="auto"/>
              <w:jc w:val="center"/>
              <w:rPr>
                <w:rFonts w:hint="eastAsia" w:ascii="宋体" w:hAnsi="宋体" w:eastAsia="宋体" w:cs="宋体"/>
                <w:color w:val="000000"/>
                <w:kern w:val="0"/>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auto"/>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河南省周口市西华县西华经开区华诚路东段</w:t>
            </w:r>
          </w:p>
        </w:tc>
        <w:tc>
          <w:tcPr>
            <w:tcW w:w="1140" w:type="dxa"/>
            <w:shd w:val="clear" w:color="auto" w:fill="FFFFFF"/>
            <w:tcMar>
              <w:top w:w="0" w:type="dxa"/>
              <w:left w:w="108" w:type="dxa"/>
              <w:bottom w:w="0" w:type="dxa"/>
              <w:right w:w="108" w:type="dxa"/>
            </w:tcMar>
            <w:vAlign w:val="center"/>
          </w:tcPr>
          <w:p w14:paraId="0527F406">
            <w:pPr>
              <w:widowControl/>
              <w:adjustRightInd w:val="0"/>
              <w:snapToGrid w:val="0"/>
              <w:spacing w:line="240" w:lineRule="auto"/>
              <w:jc w:val="center"/>
              <w:rPr>
                <w:rFonts w:hint="eastAsia" w:ascii="宋体" w:hAnsi="宋体" w:eastAsia="宋体" w:cs="宋体"/>
                <w:color w:val="000000"/>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auto"/>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河南耕亿达精密制造有限公司</w:t>
            </w:r>
          </w:p>
        </w:tc>
        <w:tc>
          <w:tcPr>
            <w:tcW w:w="1937" w:type="dxa"/>
            <w:shd w:val="clear" w:color="auto" w:fill="FFFFFF"/>
            <w:tcMar>
              <w:top w:w="0" w:type="dxa"/>
              <w:left w:w="108" w:type="dxa"/>
              <w:bottom w:w="0" w:type="dxa"/>
              <w:right w:w="108" w:type="dxa"/>
            </w:tcMar>
            <w:vAlign w:val="center"/>
          </w:tcPr>
          <w:p w14:paraId="7F14505D">
            <w:pPr>
              <w:widowControl/>
              <w:adjustRightInd w:val="0"/>
              <w:snapToGrid w:val="0"/>
              <w:spacing w:line="240" w:lineRule="auto"/>
              <w:jc w:val="center"/>
              <w:rPr>
                <w:rFonts w:hint="eastAsia" w:ascii="宋体" w:hAnsi="宋体" w:eastAsia="宋体" w:cs="宋体"/>
                <w:color w:val="auto"/>
                <w:kern w:val="0"/>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auto"/>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本项目占地面积</w:t>
            </w:r>
            <w:r>
              <w:rPr>
                <w:rFonts w:hint="eastAsia" w:ascii="宋体" w:hAnsi="宋体" w:eastAsia="宋体" w:cs="宋体"/>
                <w:color w:val="auto"/>
                <w:sz w:val="24"/>
                <w:szCs w:val="24"/>
                <w:lang w:val="en-US"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46666.2</w:t>
            </w:r>
            <w:r>
              <w:rPr>
                <w:rFonts w:hint="eastAsia" w:ascii="宋体" w:hAnsi="宋体" w:eastAsia="宋体" w:cs="宋体"/>
                <w:color w:val="auto"/>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平方米</w:t>
            </w:r>
            <w:r>
              <w:rPr>
                <w:rFonts w:hint="eastAsia" w:ascii="宋体" w:hAnsi="宋体" w:eastAsia="宋体" w:cs="宋体"/>
                <w:color w:val="auto"/>
                <w:sz w:val="24"/>
                <w:szCs w:val="24"/>
                <w:lang w:val="en-US"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w:t>
            </w:r>
            <w:r>
              <w:rPr>
                <w:rFonts w:hint="eastAsia" w:ascii="宋体" w:hAnsi="宋体" w:eastAsia="宋体" w:cs="宋体"/>
                <w:color w:val="auto"/>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投资</w:t>
            </w:r>
            <w:r>
              <w:rPr>
                <w:rFonts w:hint="eastAsia" w:ascii="宋体" w:hAnsi="宋体" w:eastAsia="宋体" w:cs="宋体"/>
                <w:color w:val="auto"/>
                <w:sz w:val="24"/>
                <w:szCs w:val="24"/>
                <w:lang w:val="en-US"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56000</w:t>
            </w:r>
            <w:r>
              <w:rPr>
                <w:rFonts w:hint="eastAsia" w:ascii="宋体" w:hAnsi="宋体" w:eastAsia="宋体" w:cs="宋体"/>
                <w:color w:val="auto"/>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万元，建设</w:t>
            </w:r>
            <w:r>
              <w:rPr>
                <w:rFonts w:hint="eastAsia" w:ascii="宋体" w:hAnsi="宋体" w:eastAsia="宋体" w:cs="宋体"/>
                <w:color w:val="auto"/>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年产6000万支智能零部件</w:t>
            </w:r>
            <w:r>
              <w:rPr>
                <w:rFonts w:hint="eastAsia" w:ascii="宋体" w:hAnsi="宋体" w:eastAsia="宋体" w:cs="宋体"/>
                <w:color w:val="auto"/>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项目，</w:t>
            </w:r>
            <w:r>
              <w:rPr>
                <w:rFonts w:hint="eastAsia" w:ascii="宋体" w:hAnsi="宋体" w:eastAsia="宋体" w:cs="宋体"/>
                <w:color w:val="auto"/>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生产工艺</w:t>
            </w:r>
            <w:r>
              <w:rPr>
                <w:rFonts w:hint="eastAsia" w:ascii="宋体" w:hAnsi="宋体" w:eastAsia="宋体" w:cs="宋体"/>
                <w:color w:val="auto"/>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为：</w:t>
            </w:r>
            <w:r>
              <w:rPr>
                <w:rFonts w:hint="eastAsia" w:ascii="宋体" w:hAnsi="宋体" w:eastAsia="宋体" w:cs="宋体"/>
                <w:color w:val="auto"/>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铝材—CNC加工—砂纸打磨/喷砂—超声波清洗—烘干—贴膜—全检—成品打标入库。</w:t>
            </w:r>
          </w:p>
        </w:tc>
        <w:tc>
          <w:tcPr>
            <w:tcW w:w="1296" w:type="dxa"/>
            <w:shd w:val="clear" w:color="auto" w:fill="FFFFFF"/>
            <w:tcMar>
              <w:top w:w="0" w:type="dxa"/>
              <w:left w:w="108" w:type="dxa"/>
              <w:bottom w:w="0" w:type="dxa"/>
              <w:right w:w="108" w:type="dxa"/>
            </w:tcMar>
            <w:vAlign w:val="center"/>
          </w:tcPr>
          <w:p w14:paraId="311D5A12">
            <w:pPr>
              <w:widowControl/>
              <w:adjustRightInd w:val="0"/>
              <w:snapToGrid w:val="0"/>
              <w:spacing w:line="240" w:lineRule="auto"/>
              <w:jc w:val="center"/>
              <w:rPr>
                <w:rFonts w:hint="eastAsia" w:ascii="宋体" w:hAnsi="宋体" w:eastAsia="宋体" w:cs="宋体"/>
                <w:color w:val="auto"/>
                <w:kern w:val="0"/>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auto"/>
                <w:spacing w:val="12"/>
                <w:kern w:val="0"/>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河南嘉源环保技术有限公司</w:t>
            </w:r>
          </w:p>
        </w:tc>
        <w:tc>
          <w:tcPr>
            <w:tcW w:w="5742" w:type="dxa"/>
            <w:shd w:val="clear" w:color="auto" w:fill="FFFFFF"/>
            <w:tcMar>
              <w:top w:w="0" w:type="dxa"/>
              <w:left w:w="108" w:type="dxa"/>
              <w:bottom w:w="0" w:type="dxa"/>
              <w:right w:w="108" w:type="dxa"/>
            </w:tcMar>
            <w:vAlign w:val="center"/>
          </w:tcPr>
          <w:p w14:paraId="67EA9F8D">
            <w:pPr>
              <w:keepNext w:val="0"/>
              <w:keepLines w:val="0"/>
              <w:pageBreakBefore w:val="0"/>
              <w:widowControl/>
              <w:numPr>
                <w:ilvl w:val="0"/>
                <w:numId w:val="1"/>
              </w:numPr>
              <w:kinsoku/>
              <w:wordWrap/>
              <w:overflowPunct/>
              <w:topLinePunct w:val="0"/>
              <w:autoSpaceDE/>
              <w:autoSpaceDN/>
              <w:bidi w:val="0"/>
              <w:adjustRightInd w:val="0"/>
              <w:snapToGrid w:val="0"/>
              <w:spacing w:line="240" w:lineRule="atLeast"/>
              <w:jc w:val="left"/>
              <w:textAlignment w:val="auto"/>
              <w:rPr>
                <w:rFonts w:hint="eastAsia" w:ascii="宋体" w:hAnsi="宋体" w:eastAsia="宋体" w:cs="宋体"/>
                <w:color w:val="auto"/>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auto"/>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废气：</w:t>
            </w:r>
            <w:r>
              <w:rPr>
                <w:rFonts w:hint="eastAsia" w:ascii="宋体" w:hAnsi="宋体" w:eastAsia="宋体" w:cs="宋体"/>
                <w:color w:val="auto"/>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运营期程中产生的废气主要为</w:t>
            </w:r>
            <w:r>
              <w:rPr>
                <w:rFonts w:hint="eastAsia" w:ascii="宋体" w:hAnsi="宋体" w:eastAsia="宋体" w:cs="宋体"/>
                <w:color w:val="auto"/>
                <w:sz w:val="24"/>
                <w:szCs w:val="24"/>
                <w:lang w:val="en-US"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CNC加工过程产生的非甲烷总烃（油雾）、喷砂工序产生的颗粒物、食堂产生的油烟</w:t>
            </w:r>
            <w:r>
              <w:rPr>
                <w:rFonts w:hint="eastAsia" w:ascii="宋体" w:hAnsi="宋体" w:eastAsia="宋体" w:cs="宋体"/>
                <w:color w:val="auto"/>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其中，CNC加工废气经管道收集+3套静电油雾净化器+3根15m高排气筒排放；废气排放均满足《大气污染物综合排放标准》（GB16297-1996）表2二级标准、《关于全省开展工业企业挥发性有机物专项治理工作中排放建议值的通知》（豫环攻坚办[2017]162号）附件1限值要求、《河南省重污染天气通用行业应急减排措施制定技术指南（2024年修订版》）要求；</w:t>
            </w:r>
            <w:r>
              <w:rPr>
                <w:rFonts w:hint="eastAsia" w:ascii="宋体" w:hAnsi="宋体" w:eastAsia="宋体" w:cs="宋体"/>
                <w:color w:val="auto"/>
                <w:sz w:val="24"/>
                <w:szCs w:val="24"/>
                <w:lang w:val="en-US"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喷砂废气经管道收集+4套“袋式除尘器”+1根15m高排气筒排放，颗粒物</w:t>
            </w:r>
            <w:r>
              <w:rPr>
                <w:rFonts w:hint="eastAsia" w:ascii="宋体" w:hAnsi="宋体" w:eastAsia="宋体" w:cs="宋体"/>
                <w:color w:val="auto"/>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满足《大气污染物综合排放标准》（GB16297-1996）表2二级标准、《河南省重污染天气通用行业应急减排措施制定技术指南（2024年修订版》）要求；食堂油烟经油烟净化器处理后屋顶排放，满足河南省地方标准《餐饮业油烟污染物排放标准》（DB41/1604-2018）要求</w:t>
            </w:r>
            <w:r>
              <w:rPr>
                <w:rFonts w:hint="eastAsia" w:ascii="宋体" w:hAnsi="宋体" w:eastAsia="宋体" w:cs="宋体"/>
                <w:bCs/>
                <w:color w:val="auto"/>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w:t>
            </w:r>
          </w:p>
          <w:p w14:paraId="414EFF80">
            <w:pPr>
              <w:keepNext w:val="0"/>
              <w:keepLines w:val="0"/>
              <w:pageBreakBefore w:val="0"/>
              <w:widowControl/>
              <w:kinsoku/>
              <w:wordWrap/>
              <w:overflowPunct/>
              <w:topLinePunct w:val="0"/>
              <w:autoSpaceDE/>
              <w:autoSpaceDN/>
              <w:bidi w:val="0"/>
              <w:adjustRightInd w:val="0"/>
              <w:snapToGrid w:val="0"/>
              <w:spacing w:line="240" w:lineRule="atLeast"/>
              <w:jc w:val="left"/>
              <w:textAlignment w:val="auto"/>
              <w:rPr>
                <w:rFonts w:hint="eastAsia" w:ascii="宋体" w:hAnsi="宋体" w:eastAsia="宋体" w:cs="宋体"/>
                <w:color w:val="FF000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auto"/>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（2）废水：</w:t>
            </w:r>
            <w:r>
              <w:rPr>
                <w:rFonts w:hint="eastAsia" w:ascii="宋体" w:hAnsi="宋体" w:eastAsia="宋体" w:cs="宋体"/>
                <w:color w:val="auto"/>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运营期产生的废水主要为生活污水、清洗废水、纯水制备废水、冷却塔排污水，生活污水经厂区隔油池、化粪池处理后和纯水制备废水、冷却排污水、经污水处理设施预处理后的清洗废水一起排入市政污水管网，经西华经开区污水处理厂进一步处理后达标排放，废水排放满足《电子工业水污染物排放标准》（GB39731-2020）表1间接排放要求和西华经开区污水处理厂收水要求</w:t>
            </w:r>
            <w:r>
              <w:rPr>
                <w:rFonts w:hint="eastAsia" w:ascii="宋体" w:hAnsi="宋体" w:eastAsia="宋体" w:cs="宋体"/>
                <w:color w:val="auto"/>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w:t>
            </w:r>
          </w:p>
          <w:p w14:paraId="192BFA34">
            <w:pPr>
              <w:keepNext w:val="0"/>
              <w:keepLines w:val="0"/>
              <w:pageBreakBefore w:val="0"/>
              <w:kinsoku/>
              <w:wordWrap/>
              <w:overflowPunct/>
              <w:topLinePunct w:val="0"/>
              <w:autoSpaceDE/>
              <w:autoSpaceDN/>
              <w:bidi w:val="0"/>
              <w:adjustRightInd w:val="0"/>
              <w:snapToGrid w:val="0"/>
              <w:spacing w:line="240" w:lineRule="atLeast"/>
              <w:textAlignment w:val="auto"/>
              <w:rPr>
                <w:rFonts w:hint="eastAsia" w:ascii="宋体" w:hAnsi="宋体" w:eastAsia="宋体" w:cs="宋体"/>
                <w:color w:val="auto"/>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auto"/>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（3）固废：生活垃圾交由环卫部门处理；废活性炭、废反渗透膜由厂家更换时回收</w:t>
            </w:r>
            <w:r>
              <w:rPr>
                <w:rFonts w:hint="eastAsia" w:ascii="宋体" w:hAnsi="宋体" w:eastAsia="宋体" w:cs="宋体"/>
                <w:color w:val="auto"/>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w:t>
            </w:r>
            <w:r>
              <w:rPr>
                <w:rFonts w:hint="eastAsia" w:ascii="宋体" w:hAnsi="宋体" w:eastAsia="宋体" w:cs="宋体"/>
                <w:color w:val="auto"/>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废包装材料、除尘器收尘经收集暂存后外售</w:t>
            </w:r>
            <w:r>
              <w:rPr>
                <w:rFonts w:hint="eastAsia" w:ascii="宋体" w:hAnsi="宋体" w:eastAsia="宋体" w:cs="宋体"/>
                <w:color w:val="auto"/>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w:t>
            </w:r>
            <w:r>
              <w:rPr>
                <w:rFonts w:hint="eastAsia" w:ascii="宋体" w:hAnsi="宋体" w:eastAsia="宋体" w:cs="宋体"/>
                <w:color w:val="auto"/>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食堂隔油池废油委托专业单位收集处置</w:t>
            </w:r>
            <w:r>
              <w:rPr>
                <w:rFonts w:hint="eastAsia" w:ascii="宋体" w:hAnsi="宋体" w:eastAsia="宋体" w:cs="宋体"/>
                <w:color w:val="auto"/>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w:t>
            </w:r>
            <w:r>
              <w:rPr>
                <w:rFonts w:hint="eastAsia" w:ascii="宋体" w:hAnsi="宋体" w:eastAsia="宋体" w:cs="宋体"/>
                <w:color w:val="auto"/>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危险废物废切削液、废砂纸、废包装桶、废矿物油、废百洁布、废水治理产生的浮油、污泥、废活性炭收集后暂存于危废暂存间，定期交有资质的单位处置</w:t>
            </w:r>
            <w:r>
              <w:rPr>
                <w:rFonts w:hint="eastAsia" w:ascii="宋体" w:hAnsi="宋体" w:eastAsia="宋体" w:cs="宋体"/>
                <w:color w:val="auto"/>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w:t>
            </w:r>
            <w:r>
              <w:rPr>
                <w:rFonts w:hint="eastAsia" w:ascii="宋体" w:hAnsi="宋体" w:eastAsia="宋体" w:cs="宋体"/>
                <w:color w:val="auto"/>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铝渣交金属冶炼单位处置。</w:t>
            </w:r>
          </w:p>
          <w:p w14:paraId="44E18D88">
            <w:pPr>
              <w:keepNext w:val="0"/>
              <w:keepLines w:val="0"/>
              <w:pageBreakBefore w:val="0"/>
              <w:widowControl/>
              <w:kinsoku/>
              <w:wordWrap/>
              <w:overflowPunct/>
              <w:topLinePunct w:val="0"/>
              <w:autoSpaceDE/>
              <w:autoSpaceDN/>
              <w:bidi w:val="0"/>
              <w:adjustRightInd w:val="0"/>
              <w:snapToGrid w:val="0"/>
              <w:spacing w:line="240" w:lineRule="atLeast"/>
              <w:jc w:val="left"/>
              <w:textAlignment w:val="auto"/>
              <w:rPr>
                <w:rFonts w:hint="eastAsia" w:ascii="宋体" w:hAnsi="宋体" w:eastAsia="宋体" w:cs="宋体"/>
                <w:color w:val="auto"/>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auto"/>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（4）噪声：</w:t>
            </w:r>
            <w:r>
              <w:rPr>
                <w:rFonts w:hint="eastAsia" w:ascii="宋体" w:hAnsi="宋体" w:eastAsia="宋体" w:cs="宋体"/>
                <w:color w:val="auto"/>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各类机械设备产生的噪声，采取隔声、消声、减振等降噪措施后，噪声排放满足《工业企业厂界环境噪声排放标准》（GB12348-2008）中</w:t>
            </w:r>
            <w:r>
              <w:rPr>
                <w:rFonts w:hint="eastAsia" w:ascii="宋体" w:hAnsi="宋体" w:eastAsia="宋体" w:cs="宋体"/>
                <w:color w:val="auto"/>
                <w:sz w:val="24"/>
                <w:szCs w:val="24"/>
                <w:lang w:val="en-US"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3</w:t>
            </w:r>
            <w:r>
              <w:rPr>
                <w:rFonts w:hint="eastAsia" w:ascii="宋体" w:hAnsi="宋体" w:eastAsia="宋体" w:cs="宋体"/>
                <w:color w:val="auto"/>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类标准要求</w:t>
            </w:r>
            <w:r>
              <w:rPr>
                <w:rFonts w:hint="eastAsia" w:ascii="宋体" w:hAnsi="宋体" w:eastAsia="宋体" w:cs="宋体"/>
                <w:color w:val="auto"/>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w:t>
            </w:r>
          </w:p>
        </w:tc>
        <w:tc>
          <w:tcPr>
            <w:tcW w:w="335" w:type="pct"/>
            <w:shd w:val="clear" w:color="auto" w:fill="FFFFFF"/>
            <w:tcMar>
              <w:top w:w="0" w:type="dxa"/>
              <w:left w:w="108" w:type="dxa"/>
              <w:bottom w:w="0" w:type="dxa"/>
              <w:right w:w="108" w:type="dxa"/>
            </w:tcMar>
            <w:vAlign w:val="center"/>
          </w:tcPr>
          <w:p w14:paraId="50D3800F">
            <w:pPr>
              <w:widowControl/>
              <w:jc w:val="center"/>
              <w:rPr>
                <w:rFonts w:hint="eastAsia" w:ascii="宋体" w:hAnsi="宋体" w:eastAsia="宋体" w:cs="宋体"/>
                <w:color w:val="auto"/>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auto"/>
                <w:kern w:val="0"/>
                <w:sz w:val="24"/>
                <w:szCs w:val="24"/>
                <w:lang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无</w:t>
            </w:r>
            <w:r>
              <w:rPr>
                <w:rFonts w:hint="eastAsia" w:ascii="宋体" w:hAnsi="宋体" w:eastAsia="宋体" w:cs="宋体"/>
                <w:color w:val="auto"/>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 </w:t>
            </w:r>
          </w:p>
          <w:p w14:paraId="216BF299">
            <w:pPr>
              <w:widowControl/>
              <w:jc w:val="center"/>
              <w:rPr>
                <w:rFonts w:hint="eastAsia" w:ascii="宋体" w:hAnsi="宋体" w:eastAsia="宋体" w:cs="宋体"/>
                <w:color w:val="auto"/>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color w:val="auto"/>
                <w:kern w:val="0"/>
                <w:sz w:val="24"/>
                <w:szCs w:val="24"/>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 </w:t>
            </w:r>
          </w:p>
        </w:tc>
      </w:tr>
    </w:tbl>
    <w:p w14:paraId="572858FF">
      <w:pPr>
        <w:spacing w:line="360" w:lineRule="auto"/>
        <w:rPr>
          <w:rFonts w:hint="eastAsia" w:ascii="宋体" w:hAnsi="宋体" w:eastAsia="宋体" w:cs="宋体"/>
          <w:sz w:val="28"/>
          <w:szCs w:val="28"/>
          <w:lang w:val="en-US"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r>
        <w:rPr>
          <w:rFonts w:hint="eastAsia" w:ascii="宋体" w:hAnsi="宋体" w:eastAsia="宋体" w:cs="宋体"/>
          <w:sz w:val="28"/>
          <w:szCs w:val="28"/>
          <w:lang w:val="en-US"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t>附件：</w:t>
      </w:r>
    </w:p>
    <w:p w14:paraId="3DD5C8AF">
      <w:pPr>
        <w:spacing w:line="360" w:lineRule="auto"/>
        <w:rPr>
          <w:rFonts w:hint="eastAsia" w:ascii="宋体" w:hAnsi="宋体" w:eastAsia="宋体" w:cs="宋体"/>
          <w:sz w:val="28"/>
          <w:szCs w:val="28"/>
          <w:lang w:val="en-US" w:eastAsia="zh-CN"/>
          <w14:textFill>
            <w14:gradFill>
              <w14:gsLst>
                <w14:gs w14:pos="50000">
                  <w14:schemeClr w14:val="accent1"/>
                </w14:gs>
                <w14:gs w14:pos="0">
                  <w14:schemeClr w14:val="accent1">
                    <w14:lumMod w14:val="25000"/>
                    <w14:lumOff w14:val="75000"/>
                  </w14:schemeClr>
                </w14:gs>
                <w14:gs w14:pos="100000">
                  <w14:schemeClr w14:val="accent1">
                    <w14:lumMod w14:val="85000"/>
                  </w14:schemeClr>
                </w14:gs>
              </w14:gsLst>
              <w14:lin w14:ang="5400000" w14:scaled="1"/>
            </w14:gradFill>
          </w14:textFill>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2AB14E"/>
    <w:multiLevelType w:val="singleLevel"/>
    <w:tmpl w:val="E12AB14E"/>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mUzOGNjM2YxYTMzOGFjNTIyMTI2OWJhYjM4OTIyYzAifQ=="/>
    <w:docVar w:name="KSO_WPS_MARK_KEY" w:val="1ba4794e-3277-44d8-9959-92960384e1c6"/>
  </w:docVars>
  <w:rsids>
    <w:rsidRoot w:val="00137F98"/>
    <w:rsid w:val="00137F98"/>
    <w:rsid w:val="00B86535"/>
    <w:rsid w:val="00BA0EF4"/>
    <w:rsid w:val="00C1162B"/>
    <w:rsid w:val="00EF3EC2"/>
    <w:rsid w:val="07554868"/>
    <w:rsid w:val="078965B6"/>
    <w:rsid w:val="0D6D2DC3"/>
    <w:rsid w:val="0F0D7E49"/>
    <w:rsid w:val="102E38C6"/>
    <w:rsid w:val="12F206F6"/>
    <w:rsid w:val="16B72867"/>
    <w:rsid w:val="1A2633F2"/>
    <w:rsid w:val="1A852D49"/>
    <w:rsid w:val="1AD86B70"/>
    <w:rsid w:val="1CC7757C"/>
    <w:rsid w:val="1D8A02B4"/>
    <w:rsid w:val="1E887A93"/>
    <w:rsid w:val="1F95570F"/>
    <w:rsid w:val="252635B7"/>
    <w:rsid w:val="26154482"/>
    <w:rsid w:val="27EC4E07"/>
    <w:rsid w:val="2BB92785"/>
    <w:rsid w:val="2C221EAA"/>
    <w:rsid w:val="30D64B65"/>
    <w:rsid w:val="311A3D22"/>
    <w:rsid w:val="33B90CE7"/>
    <w:rsid w:val="35470E02"/>
    <w:rsid w:val="36B70D09"/>
    <w:rsid w:val="38087CF5"/>
    <w:rsid w:val="396D42AA"/>
    <w:rsid w:val="3E382887"/>
    <w:rsid w:val="410B1E7C"/>
    <w:rsid w:val="417340EF"/>
    <w:rsid w:val="48D84600"/>
    <w:rsid w:val="52C23FFB"/>
    <w:rsid w:val="54580BCD"/>
    <w:rsid w:val="584F69AC"/>
    <w:rsid w:val="5929034E"/>
    <w:rsid w:val="5A4A08C9"/>
    <w:rsid w:val="6402545C"/>
    <w:rsid w:val="68000819"/>
    <w:rsid w:val="6C354F35"/>
    <w:rsid w:val="6ED27604"/>
    <w:rsid w:val="732857F3"/>
    <w:rsid w:val="73F36EAD"/>
    <w:rsid w:val="742A7349"/>
    <w:rsid w:val="7DEA70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iPriority="0" w:semiHidden="0"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next w:val="4"/>
    <w:qFormat/>
    <w:uiPriority w:val="0"/>
    <w:pPr>
      <w:widowControl/>
      <w:snapToGrid w:val="0"/>
      <w:spacing w:before="60" w:after="160" w:line="259" w:lineRule="auto"/>
      <w:ind w:right="113"/>
    </w:pPr>
    <w:rPr>
      <w:kern w:val="0"/>
      <w:sz w:val="18"/>
      <w:szCs w:val="20"/>
    </w:rPr>
  </w:style>
  <w:style w:type="paragraph" w:styleId="4">
    <w:name w:val="Body Text First Indent 2"/>
    <w:basedOn w:val="1"/>
    <w:next w:val="1"/>
    <w:unhideWhenUsed/>
    <w:qFormat/>
    <w:uiPriority w:val="0"/>
    <w:pPr>
      <w:ind w:firstLine="420" w:firstLineChars="200"/>
    </w:pPr>
  </w:style>
  <w:style w:type="paragraph" w:styleId="5">
    <w:name w:val="Body Text Indent 2"/>
    <w:basedOn w:val="1"/>
    <w:qFormat/>
    <w:uiPriority w:val="0"/>
    <w:pPr>
      <w:spacing w:line="288" w:lineRule="auto"/>
      <w:ind w:firstLine="495"/>
    </w:pPr>
    <w:rPr>
      <w:rFonts w:ascii="宋体"/>
      <w:color w:val="FF0000"/>
      <w:sz w:val="24"/>
      <w:szCs w:val="20"/>
    </w:rPr>
  </w:style>
  <w:style w:type="paragraph" w:styleId="6">
    <w:name w:val="Body Text First Indent"/>
    <w:basedOn w:val="3"/>
    <w:next w:val="1"/>
    <w:qFormat/>
    <w:uiPriority w:val="0"/>
    <w:pPr>
      <w:ind w:firstLine="420" w:firstLineChars="100"/>
    </w:pPr>
  </w:style>
  <w:style w:type="character" w:styleId="9">
    <w:name w:val="Strong"/>
    <w:basedOn w:val="8"/>
    <w:qFormat/>
    <w:uiPriority w:val="0"/>
    <w:rPr>
      <w:rFonts w:ascii="Times New Roman" w:hAnsi="Times New Roman" w:eastAsia="宋体"/>
      <w:bCs/>
      <w:sz w:val="21"/>
    </w:rPr>
  </w:style>
  <w:style w:type="paragraph" w:customStyle="1" w:styleId="10">
    <w:name w:val="Default"/>
    <w:basedOn w:val="11"/>
    <w:next w:val="1"/>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11">
    <w:name w:val="标题 段落4级"/>
    <w:qFormat/>
    <w:uiPriority w:val="0"/>
    <w:pPr>
      <w:spacing w:line="500" w:lineRule="exact"/>
      <w:outlineLvl w:val="3"/>
    </w:pPr>
    <w:rPr>
      <w:rFonts w:ascii="Times New Roman" w:hAnsi="Times New Roman" w:eastAsia="仿宋_GB2312" w:cs="Calibri"/>
      <w:b/>
      <w:kern w:val="2"/>
      <w:sz w:val="28"/>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1284</Words>
  <Characters>1417</Characters>
  <Lines>11</Lines>
  <Paragraphs>3</Paragraphs>
  <TotalTime>1</TotalTime>
  <ScaleCrop>false</ScaleCrop>
  <LinksUpToDate>false</LinksUpToDate>
  <CharactersWithSpaces>1426</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2022-07-24T02:07:00Z</dcterms:created>
  <dc:creator>郭 东耀</dc:creator>
  <cp:lastModifiedBy>刺梅</cp:lastModifiedBy>
  <dcterms:modified xsi:type="dcterms:W3CDTF">2025-02-25T05:59:07Z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20503CA3274A407A9B56BDE9C7FF3F9C_13</vt:lpwstr>
  </property>
  <property fmtid="{D5CDD505-2E9C-101B-9397-08002B2CF9AE}" pid="4" name="KSOTemplateDocerSaveRecord">
    <vt:lpwstr>eyJoZGlkIjoiMGQ2MjM2ZWE3ZDk0NTVhOTlmZDM0MmRiNGM3MmFkNGQiLCJ1c2VySWQiOiIzNTcyMjI3NDIifQ==</vt:lpwstr>
  </property>
</Properties>
</file>