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43288A8">
      <w:pPr>
        <w:jc w:val="center"/>
        <w:rPr>
          <w:rFonts w:hint="eastAsia" w:ascii="黑体" w:hAnsi="黑体" w:eastAsia="黑体"/>
          <w:sz w:val="32"/>
          <w:szCs w:val="32"/>
        </w:rPr>
      </w:pPr>
      <w:r>
        <w:rPr>
          <w:rFonts w:hint="eastAsia" w:ascii="黑体" w:hAnsi="黑体" w:eastAsia="黑体"/>
          <w:sz w:val="32"/>
          <w:szCs w:val="32"/>
        </w:rPr>
        <w:t>周口市生态环境局</w:t>
      </w:r>
      <w:r>
        <w:rPr>
          <w:rFonts w:hint="eastAsia" w:ascii="黑体" w:hAnsi="黑体" w:eastAsia="黑体"/>
          <w:sz w:val="32"/>
          <w:szCs w:val="32"/>
          <w:lang w:eastAsia="zh-CN"/>
        </w:rPr>
        <w:t>关于</w:t>
      </w:r>
      <w:r>
        <w:rPr>
          <w:rFonts w:hint="eastAsia" w:ascii="黑体" w:hAnsi="黑体" w:eastAsia="黑体"/>
          <w:sz w:val="32"/>
          <w:szCs w:val="32"/>
          <w:lang w:val="en-US" w:eastAsia="zh-CN"/>
        </w:rPr>
        <w:t>河南优弧能源有限公司退役动力锂电池梯次利用项目</w:t>
      </w:r>
    </w:p>
    <w:p w14:paraId="1A90BE77">
      <w:pPr>
        <w:jc w:val="center"/>
        <w:rPr>
          <w:rFonts w:hint="eastAsia" w:ascii="黑体" w:hAnsi="黑体" w:eastAsia="黑体"/>
          <w:sz w:val="32"/>
          <w:szCs w:val="32"/>
        </w:rPr>
      </w:pPr>
      <w:r>
        <w:rPr>
          <w:rFonts w:hint="eastAsia" w:ascii="黑体" w:hAnsi="黑体" w:eastAsia="黑体"/>
          <w:sz w:val="32"/>
          <w:szCs w:val="32"/>
        </w:rPr>
        <w:t>环境影响评价文件拟审批情况的公示</w:t>
      </w:r>
    </w:p>
    <w:p w14:paraId="554ED315">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根据建设项目环境影响评价审批程序的有关规定，经审议，我局拟对</w:t>
      </w:r>
      <w:r>
        <w:rPr>
          <w:rFonts w:hint="eastAsia" w:ascii="Times New Roman" w:cs="Times New Roman" w:hAnsiTheme="minorEastAsia"/>
          <w:sz w:val="28"/>
          <w:szCs w:val="28"/>
          <w:lang w:val="en-US" w:eastAsia="zh-CN"/>
        </w:rPr>
        <w:t>河南优弧能源有限公司退役动力锂电池梯次利用项目</w:t>
      </w:r>
      <w:r>
        <w:rPr>
          <w:rFonts w:hint="eastAsia" w:ascii="Times New Roman" w:cs="Times New Roman" w:hAnsiTheme="minorEastAsia"/>
          <w:sz w:val="28"/>
          <w:szCs w:val="28"/>
        </w:rPr>
        <w:t>环境影响评价文件作出拟审批意见。为保证拟审批意见的严肃性和公正性，现将建设项目环境影响评价文件的基本情况予以公示。如有异议，请在公示期内反馈我局行政审批服务科。公示期为2024 年</w:t>
      </w:r>
      <w:r>
        <w:rPr>
          <w:rFonts w:hint="eastAsia" w:ascii="Times New Roman" w:cs="Times New Roman" w:hAnsiTheme="minorEastAsia"/>
          <w:sz w:val="28"/>
          <w:szCs w:val="28"/>
          <w:lang w:val="en-US" w:eastAsia="zh-CN"/>
        </w:rPr>
        <w:t>7</w:t>
      </w:r>
      <w:r>
        <w:rPr>
          <w:rFonts w:hint="eastAsia" w:ascii="Times New Roman" w:cs="Times New Roman" w:hAnsiTheme="minorEastAsia"/>
          <w:sz w:val="28"/>
          <w:szCs w:val="28"/>
        </w:rPr>
        <w:t>月</w:t>
      </w:r>
      <w:r>
        <w:rPr>
          <w:rFonts w:hint="eastAsia" w:ascii="Times New Roman" w:cs="Times New Roman" w:hAnsiTheme="minorEastAsia"/>
          <w:sz w:val="28"/>
          <w:szCs w:val="28"/>
          <w:lang w:val="en-US" w:eastAsia="zh-CN"/>
        </w:rPr>
        <w:t>5</w:t>
      </w:r>
      <w:r>
        <w:rPr>
          <w:rFonts w:hint="eastAsia" w:ascii="Times New Roman" w:cs="Times New Roman" w:hAnsiTheme="minorEastAsia"/>
          <w:sz w:val="28"/>
          <w:szCs w:val="28"/>
        </w:rPr>
        <w:t>日－2024年</w:t>
      </w:r>
      <w:r>
        <w:rPr>
          <w:rFonts w:hint="eastAsia" w:ascii="Times New Roman" w:cs="Times New Roman" w:hAnsiTheme="minorEastAsia"/>
          <w:sz w:val="28"/>
          <w:szCs w:val="28"/>
          <w:lang w:val="en-US" w:eastAsia="zh-CN"/>
        </w:rPr>
        <w:t>7</w:t>
      </w:r>
      <w:r>
        <w:rPr>
          <w:rFonts w:hint="eastAsia" w:ascii="Times New Roman" w:cs="Times New Roman" w:hAnsiTheme="minorEastAsia"/>
          <w:sz w:val="28"/>
          <w:szCs w:val="28"/>
        </w:rPr>
        <w:t>月</w:t>
      </w:r>
      <w:r>
        <w:rPr>
          <w:rFonts w:hint="eastAsia" w:ascii="Times New Roman" w:cs="Times New Roman" w:hAnsiTheme="minorEastAsia"/>
          <w:sz w:val="28"/>
          <w:szCs w:val="28"/>
          <w:lang w:val="en-US" w:eastAsia="zh-CN"/>
        </w:rPr>
        <w:t>11</w:t>
      </w:r>
      <w:r>
        <w:rPr>
          <w:rFonts w:hint="eastAsia" w:ascii="Times New Roman" w:cs="Times New Roman" w:hAnsiTheme="minorEastAsia"/>
          <w:sz w:val="28"/>
          <w:szCs w:val="28"/>
        </w:rPr>
        <w:t>日。</w:t>
      </w:r>
    </w:p>
    <w:p w14:paraId="6773829B">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电话（传真）：0394-8278830</w:t>
      </w:r>
    </w:p>
    <w:p w14:paraId="7C8317A1">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通讯地址：周口市政务服务中心二楼北厅生态环境局窗口</w:t>
      </w:r>
    </w:p>
    <w:p w14:paraId="72FEEE8D">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听证告知：依据《中华人民共和国行政许可法》，自公示起五个工作日内申请人、有重大利益关系的利害关系人可对以下拟作出的建设项目环境影响评价文件批复决定要求听证。</w:t>
      </w:r>
    </w:p>
    <w:p w14:paraId="0E362BB6">
      <w:pPr>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受理拟审批的建设项目环境影响报告书</w:t>
      </w:r>
    </w:p>
    <w:tbl>
      <w:tblPr>
        <w:tblStyle w:val="6"/>
        <w:tblW w:w="14174"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426"/>
        <w:gridCol w:w="1100"/>
        <w:gridCol w:w="1134"/>
        <w:gridCol w:w="709"/>
        <w:gridCol w:w="850"/>
        <w:gridCol w:w="1843"/>
        <w:gridCol w:w="7229"/>
        <w:gridCol w:w="883"/>
      </w:tblGrid>
      <w:tr w14:paraId="44DC20B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26" w:type="dxa"/>
            <w:vAlign w:val="center"/>
          </w:tcPr>
          <w:p w14:paraId="63B3C363">
            <w:pPr>
              <w:jc w:val="center"/>
              <w:rPr>
                <w:rFonts w:ascii="Times New Roman" w:hAnsi="Times New Roman" w:cs="Times New Roman"/>
                <w:szCs w:val="21"/>
              </w:rPr>
            </w:pPr>
            <w:r>
              <w:rPr>
                <w:rFonts w:ascii="Times New Roman" w:cs="Times New Roman" w:hAnsiTheme="minorEastAsia"/>
                <w:szCs w:val="21"/>
              </w:rPr>
              <w:t>序号</w:t>
            </w:r>
          </w:p>
        </w:tc>
        <w:tc>
          <w:tcPr>
            <w:tcW w:w="1100" w:type="dxa"/>
            <w:vAlign w:val="center"/>
          </w:tcPr>
          <w:p w14:paraId="599472D7">
            <w:pPr>
              <w:jc w:val="center"/>
              <w:rPr>
                <w:rFonts w:ascii="Times New Roman" w:hAnsi="Times New Roman" w:cs="Times New Roman"/>
                <w:szCs w:val="21"/>
              </w:rPr>
            </w:pPr>
            <w:r>
              <w:rPr>
                <w:rFonts w:ascii="Times New Roman" w:cs="Times New Roman" w:hAnsiTheme="minorEastAsia"/>
                <w:szCs w:val="21"/>
              </w:rPr>
              <w:t>项目名称</w:t>
            </w:r>
          </w:p>
        </w:tc>
        <w:tc>
          <w:tcPr>
            <w:tcW w:w="1134" w:type="dxa"/>
            <w:vAlign w:val="center"/>
          </w:tcPr>
          <w:p w14:paraId="57A309A6">
            <w:pPr>
              <w:jc w:val="center"/>
              <w:rPr>
                <w:rFonts w:ascii="Times New Roman" w:hAnsi="Times New Roman" w:cs="Times New Roman"/>
                <w:szCs w:val="21"/>
              </w:rPr>
            </w:pPr>
            <w:r>
              <w:rPr>
                <w:rFonts w:ascii="Times New Roman" w:cs="Times New Roman" w:hAnsiTheme="minorEastAsia"/>
                <w:szCs w:val="21"/>
              </w:rPr>
              <w:t>建设地点</w:t>
            </w:r>
          </w:p>
        </w:tc>
        <w:tc>
          <w:tcPr>
            <w:tcW w:w="709" w:type="dxa"/>
            <w:vAlign w:val="center"/>
          </w:tcPr>
          <w:p w14:paraId="2E0BC949">
            <w:pPr>
              <w:jc w:val="center"/>
              <w:rPr>
                <w:rFonts w:ascii="Times New Roman" w:hAnsi="Times New Roman" w:cs="Times New Roman"/>
                <w:szCs w:val="21"/>
              </w:rPr>
            </w:pPr>
            <w:r>
              <w:rPr>
                <w:rFonts w:ascii="Times New Roman" w:cs="Times New Roman" w:hAnsiTheme="minorEastAsia"/>
                <w:szCs w:val="21"/>
              </w:rPr>
              <w:t>建设单位</w:t>
            </w:r>
          </w:p>
        </w:tc>
        <w:tc>
          <w:tcPr>
            <w:tcW w:w="850" w:type="dxa"/>
            <w:vAlign w:val="center"/>
          </w:tcPr>
          <w:p w14:paraId="2DE81D50">
            <w:pPr>
              <w:jc w:val="center"/>
              <w:rPr>
                <w:rFonts w:ascii="Times New Roman" w:hAnsi="Times New Roman" w:cs="Times New Roman"/>
                <w:szCs w:val="21"/>
              </w:rPr>
            </w:pPr>
            <w:r>
              <w:rPr>
                <w:rFonts w:ascii="Times New Roman" w:cs="Times New Roman" w:hAnsiTheme="minorEastAsia"/>
                <w:szCs w:val="21"/>
              </w:rPr>
              <w:t>环境影响评价机构</w:t>
            </w:r>
          </w:p>
        </w:tc>
        <w:tc>
          <w:tcPr>
            <w:tcW w:w="1843" w:type="dxa"/>
            <w:vAlign w:val="center"/>
          </w:tcPr>
          <w:p w14:paraId="28D0B124">
            <w:pPr>
              <w:jc w:val="center"/>
              <w:rPr>
                <w:rFonts w:ascii="Times New Roman" w:hAnsi="Times New Roman" w:cs="Times New Roman"/>
                <w:szCs w:val="21"/>
              </w:rPr>
            </w:pPr>
            <w:r>
              <w:rPr>
                <w:rFonts w:ascii="Times New Roman" w:cs="Times New Roman" w:hAnsiTheme="minorEastAsia"/>
                <w:szCs w:val="21"/>
              </w:rPr>
              <w:t>建设项目概况</w:t>
            </w:r>
          </w:p>
        </w:tc>
        <w:tc>
          <w:tcPr>
            <w:tcW w:w="7229" w:type="dxa"/>
            <w:vAlign w:val="center"/>
          </w:tcPr>
          <w:p w14:paraId="2EA90746">
            <w:pPr>
              <w:jc w:val="center"/>
              <w:rPr>
                <w:rFonts w:ascii="Times New Roman" w:hAnsi="Times New Roman" w:cs="Times New Roman"/>
                <w:szCs w:val="21"/>
              </w:rPr>
            </w:pPr>
            <w:r>
              <w:rPr>
                <w:rFonts w:ascii="Times New Roman" w:cs="Times New Roman" w:hAnsiTheme="minorEastAsia"/>
                <w:szCs w:val="21"/>
              </w:rPr>
              <w:t>主要环境影响及预防或减轻不良环境影响的对策和措施</w:t>
            </w:r>
          </w:p>
        </w:tc>
        <w:tc>
          <w:tcPr>
            <w:tcW w:w="883" w:type="dxa"/>
            <w:vAlign w:val="center"/>
          </w:tcPr>
          <w:p w14:paraId="541B6FB2">
            <w:pPr>
              <w:jc w:val="center"/>
              <w:rPr>
                <w:rFonts w:ascii="Times New Roman" w:hAnsi="Times New Roman" w:cs="Times New Roman"/>
                <w:szCs w:val="21"/>
              </w:rPr>
            </w:pPr>
            <w:r>
              <w:rPr>
                <w:rFonts w:ascii="Times New Roman" w:cs="Times New Roman" w:hAnsiTheme="minorEastAsia"/>
                <w:szCs w:val="21"/>
              </w:rPr>
              <w:t>公众参与情况</w:t>
            </w:r>
          </w:p>
        </w:tc>
      </w:tr>
      <w:tr w14:paraId="59EDF52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26" w:type="dxa"/>
          </w:tcPr>
          <w:p w14:paraId="26ECA8DB">
            <w:pPr>
              <w:jc w:val="center"/>
              <w:rPr>
                <w:rFonts w:ascii="Times New Roman" w:hAnsi="Times New Roman" w:cs="Times New Roman"/>
                <w:szCs w:val="21"/>
              </w:rPr>
            </w:pPr>
            <w:r>
              <w:rPr>
                <w:rFonts w:ascii="Times New Roman" w:hAnsi="Times New Roman" w:cs="Times New Roman"/>
                <w:szCs w:val="21"/>
              </w:rPr>
              <w:t>1</w:t>
            </w:r>
          </w:p>
        </w:tc>
        <w:tc>
          <w:tcPr>
            <w:tcW w:w="1100" w:type="dxa"/>
          </w:tcPr>
          <w:p w14:paraId="61C7629C">
            <w:pPr>
              <w:jc w:val="center"/>
              <w:rPr>
                <w:rFonts w:ascii="Times New Roman" w:hAnsi="Times New Roman" w:cs="Times New Roman"/>
                <w:szCs w:val="21"/>
              </w:rPr>
            </w:pPr>
            <w:r>
              <w:rPr>
                <w:rFonts w:hint="eastAsia" w:ascii="Times New Roman" w:hAnsi="Times New Roman" w:cs="Times New Roman"/>
                <w:szCs w:val="21"/>
                <w:lang w:val="en-US" w:eastAsia="zh-CN"/>
              </w:rPr>
              <w:t>河南优弧能源有限公司退役动力锂电池梯次利用项目</w:t>
            </w:r>
          </w:p>
        </w:tc>
        <w:tc>
          <w:tcPr>
            <w:tcW w:w="1134" w:type="dxa"/>
          </w:tcPr>
          <w:p w14:paraId="366374D4">
            <w:pPr>
              <w:jc w:val="center"/>
              <w:rPr>
                <w:rFonts w:ascii="Times New Roman" w:hAnsi="Times New Roman" w:cs="Times New Roman"/>
                <w:szCs w:val="21"/>
              </w:rPr>
            </w:pPr>
            <w:r>
              <w:rPr>
                <w:rFonts w:ascii="Times New Roman" w:hAnsi="Times New Roman" w:cs="Times New Roman"/>
                <w:szCs w:val="21"/>
              </w:rPr>
              <w:t>周口市周口先进制造业开发区民信路与宛丘大道交叉口东20米</w:t>
            </w:r>
          </w:p>
        </w:tc>
        <w:tc>
          <w:tcPr>
            <w:tcW w:w="709" w:type="dxa"/>
          </w:tcPr>
          <w:p w14:paraId="7BC9F01F">
            <w:pPr>
              <w:jc w:val="center"/>
              <w:rPr>
                <w:rFonts w:ascii="Times New Roman" w:hAnsi="Times New Roman" w:cs="Times New Roman"/>
                <w:szCs w:val="21"/>
              </w:rPr>
            </w:pPr>
            <w:r>
              <w:rPr>
                <w:rFonts w:hint="eastAsia" w:ascii="Times New Roman" w:hAnsi="Times New Roman" w:cs="Times New Roman"/>
                <w:szCs w:val="21"/>
                <w:lang w:val="en-US" w:eastAsia="zh-CN"/>
              </w:rPr>
              <w:t>河南优弧能源有限公司</w:t>
            </w:r>
          </w:p>
        </w:tc>
        <w:tc>
          <w:tcPr>
            <w:tcW w:w="850" w:type="dxa"/>
          </w:tcPr>
          <w:p w14:paraId="306883AE">
            <w:pPr>
              <w:jc w:val="center"/>
              <w:rPr>
                <w:rFonts w:ascii="Times New Roman" w:hAnsi="Times New Roman" w:cs="Times New Roman"/>
                <w:szCs w:val="21"/>
              </w:rPr>
            </w:pPr>
            <w:r>
              <w:rPr>
                <w:rFonts w:hint="eastAsia" w:ascii="Times New Roman" w:hAnsi="Times New Roman" w:cs="Times New Roman"/>
                <w:szCs w:val="21"/>
                <w:lang w:val="en-US" w:eastAsia="zh-CN"/>
              </w:rPr>
              <w:t>河南极科环保工程有限公司</w:t>
            </w:r>
          </w:p>
          <w:p w14:paraId="1DC3008B">
            <w:pPr>
              <w:jc w:val="center"/>
              <w:rPr>
                <w:rFonts w:ascii="Times New Roman" w:hAnsi="Times New Roman" w:cs="Times New Roman"/>
                <w:szCs w:val="21"/>
              </w:rPr>
            </w:pPr>
          </w:p>
        </w:tc>
        <w:tc>
          <w:tcPr>
            <w:tcW w:w="1843" w:type="dxa"/>
          </w:tcPr>
          <w:p w14:paraId="6F73D5FA">
            <w:pPr>
              <w:rPr>
                <w:rFonts w:ascii="Times New Roman" w:hAnsi="Times New Roman" w:cs="Times New Roman"/>
                <w:szCs w:val="21"/>
              </w:rPr>
            </w:pPr>
            <w:r>
              <w:rPr>
                <w:rFonts w:hint="eastAsia" w:ascii="Times New Roman" w:hAnsi="Times New Roman" w:cs="Times New Roman"/>
                <w:szCs w:val="21"/>
                <w:lang w:val="en-US" w:eastAsia="zh-CN"/>
              </w:rPr>
              <w:t xml:space="preserve">河南优弧能源有限公司拟在周口市淮阳区周口先进制造业开发区投资 </w:t>
            </w:r>
            <w:r>
              <w:rPr>
                <w:rFonts w:hint="default" w:ascii="Times New Roman" w:hAnsi="Times New Roman" w:cs="Times New Roman"/>
                <w:szCs w:val="21"/>
                <w:lang w:val="en-US" w:eastAsia="zh-CN"/>
              </w:rPr>
              <w:t>2000</w:t>
            </w:r>
            <w:r>
              <w:rPr>
                <w:rFonts w:hint="eastAsia" w:ascii="Times New Roman" w:hAnsi="Times New Roman" w:cs="Times New Roman"/>
                <w:szCs w:val="21"/>
                <w:lang w:val="en-US" w:eastAsia="zh-CN"/>
              </w:rPr>
              <w:t xml:space="preserve">万元，建设退役动力锂电池梯次利用项目。租赁 </w:t>
            </w:r>
            <w:r>
              <w:rPr>
                <w:rFonts w:hint="default" w:ascii="Times New Roman" w:hAnsi="Times New Roman" w:cs="Times New Roman"/>
                <w:szCs w:val="21"/>
                <w:lang w:val="en-US" w:eastAsia="zh-CN"/>
              </w:rPr>
              <w:t xml:space="preserve">1 </w:t>
            </w:r>
            <w:r>
              <w:rPr>
                <w:rFonts w:hint="eastAsia" w:ascii="Times New Roman" w:hAnsi="Times New Roman" w:cs="Times New Roman"/>
                <w:szCs w:val="21"/>
                <w:lang w:val="en-US" w:eastAsia="zh-CN"/>
              </w:rPr>
              <w:t xml:space="preserve">栋闲置厂房为生产场所，占地面积 </w:t>
            </w:r>
            <w:r>
              <w:rPr>
                <w:rFonts w:hint="default" w:ascii="Times New Roman" w:hAnsi="Times New Roman" w:cs="Times New Roman"/>
                <w:szCs w:val="21"/>
                <w:lang w:val="en-US" w:eastAsia="zh-CN"/>
              </w:rPr>
              <w:t>1100m</w:t>
            </w:r>
            <w:r>
              <w:rPr>
                <w:rFonts w:hint="default" w:ascii="Times New Roman" w:hAnsi="Times New Roman" w:cs="Times New Roman"/>
                <w:szCs w:val="21"/>
                <w:vertAlign w:val="superscript"/>
                <w:lang w:val="en-US" w:eastAsia="zh-CN"/>
              </w:rPr>
              <w:t>2</w:t>
            </w:r>
            <w:r>
              <w:rPr>
                <w:rFonts w:hint="eastAsia" w:ascii="Times New Roman" w:hAnsi="Times New Roman" w:cs="Times New Roman"/>
                <w:szCs w:val="21"/>
                <w:lang w:val="en-US" w:eastAsia="zh-CN"/>
              </w:rPr>
              <w:t xml:space="preserve">，总建筑面积 </w:t>
            </w:r>
            <w:r>
              <w:rPr>
                <w:rFonts w:hint="default" w:ascii="Times New Roman" w:hAnsi="Times New Roman" w:cs="Times New Roman"/>
                <w:szCs w:val="21"/>
                <w:lang w:val="en-US" w:eastAsia="zh-CN"/>
              </w:rPr>
              <w:t>1100m</w:t>
            </w:r>
            <w:r>
              <w:rPr>
                <w:rFonts w:hint="default" w:ascii="Times New Roman" w:hAnsi="Times New Roman" w:cs="Times New Roman"/>
                <w:szCs w:val="21"/>
                <w:vertAlign w:val="superscript"/>
                <w:lang w:val="en-US" w:eastAsia="zh-CN"/>
              </w:rPr>
              <w:t>2</w:t>
            </w:r>
            <w:r>
              <w:rPr>
                <w:rFonts w:hint="eastAsia" w:ascii="Times New Roman" w:hAnsi="Times New Roman" w:cs="Times New Roman"/>
                <w:szCs w:val="21"/>
                <w:lang w:val="en-US" w:eastAsia="zh-CN"/>
              </w:rPr>
              <w:t xml:space="preserve">，设置退役动力锂电池梯次利用处理生产线 </w:t>
            </w:r>
            <w:r>
              <w:rPr>
                <w:rFonts w:hint="default" w:ascii="Times New Roman" w:hAnsi="Times New Roman" w:cs="Times New Roman"/>
                <w:szCs w:val="21"/>
                <w:lang w:val="en-US" w:eastAsia="zh-CN"/>
              </w:rPr>
              <w:t>1</w:t>
            </w:r>
            <w:r>
              <w:rPr>
                <w:rFonts w:hint="eastAsia" w:ascii="Times New Roman" w:hAnsi="Times New Roman" w:cs="Times New Roman"/>
                <w:szCs w:val="21"/>
                <w:lang w:val="en-US" w:eastAsia="zh-CN"/>
              </w:rPr>
              <w:t>条。</w:t>
            </w:r>
          </w:p>
          <w:p w14:paraId="728E6BDD">
            <w:pPr>
              <w:rPr>
                <w:rFonts w:ascii="Times New Roman" w:hAnsi="Times New Roman" w:cs="Times New Roman"/>
                <w:szCs w:val="21"/>
              </w:rPr>
            </w:pPr>
          </w:p>
        </w:tc>
        <w:tc>
          <w:tcPr>
            <w:tcW w:w="7229" w:type="dxa"/>
          </w:tcPr>
          <w:p w14:paraId="05B8983B">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一、水污染防治措施</w:t>
            </w:r>
          </w:p>
          <w:p w14:paraId="51E343C3">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项目生产线不涉及涉水工序，不产生生产废水。项目车间和仓库采取吸尘器清洁，不需用水冲洗，项目废水主要为生活污水。项目生活污水经管道收集、预处理后，水质应满足《污水综合排放标准》（GB8978-1996）表 4 三级标准及周口市淮阳区第一污水处理厂纳管水质要求，通过市政污水管网进入周口市淮阳区第一污水处理厂经“格栅-沉砂池-氧化沟-二沉池-深度处理”处理，达到《城镇污水处理厂污染物排放标准》（GB18918-2002）一级（A）标准后排放。 </w:t>
            </w:r>
          </w:p>
          <w:p w14:paraId="47365F0D">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hint="eastAsia" w:ascii="宋体" w:hAnsi="宋体" w:eastAsia="宋体" w:cs="宋体"/>
                <w:sz w:val="21"/>
                <w:szCs w:val="21"/>
                <w:lang w:val="en-GB" w:eastAsia="zh-CN"/>
              </w:rPr>
            </w:pPr>
            <w:r>
              <w:rPr>
                <w:rFonts w:hint="eastAsia" w:ascii="宋体" w:hAnsi="宋体" w:eastAsia="宋体" w:cs="宋体"/>
                <w:sz w:val="21"/>
                <w:szCs w:val="21"/>
                <w:lang w:val="en-GB" w:eastAsia="zh-CN"/>
              </w:rPr>
              <w:t>二、废气污染防治措施</w:t>
            </w:r>
          </w:p>
          <w:p w14:paraId="36DF5D5A">
            <w:pPr>
              <w:keepNext w:val="0"/>
              <w:keepLines w:val="0"/>
              <w:pageBreakBefore w:val="0"/>
              <w:widowControl/>
              <w:suppressLineNumbers w:val="0"/>
              <w:kinsoku/>
              <w:wordWrap/>
              <w:overflowPunct/>
              <w:topLinePunct w:val="0"/>
              <w:autoSpaceDE/>
              <w:autoSpaceDN/>
              <w:bidi w:val="0"/>
              <w:adjustRightInd/>
              <w:snapToGrid/>
              <w:ind w:firstLine="420" w:firstLineChars="200"/>
              <w:jc w:val="both"/>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项目废气主要为</w:t>
            </w:r>
            <w:r>
              <w:rPr>
                <w:rFonts w:hint="eastAsia" w:ascii="宋体" w:hAnsi="宋体" w:eastAsia="宋体" w:cs="宋体"/>
                <w:color w:val="000000"/>
                <w:kern w:val="0"/>
                <w:sz w:val="21"/>
                <w:szCs w:val="21"/>
                <w:lang w:val="en-US" w:eastAsia="zh-CN" w:bidi="ar"/>
              </w:rPr>
              <w:t>为：装配工序废气（NMHC）、焊接工序废气（颗粒物、锡及其化合物）、电解液泄漏废气。</w:t>
            </w:r>
          </w:p>
          <w:p w14:paraId="7C4282AD">
            <w:pPr>
              <w:keepNext w:val="0"/>
              <w:keepLines w:val="0"/>
              <w:pageBreakBefore w:val="0"/>
              <w:widowControl/>
              <w:numPr>
                <w:ilvl w:val="0"/>
                <w:numId w:val="2"/>
              </w:numPr>
              <w:suppressLineNumbers w:val="0"/>
              <w:kinsoku/>
              <w:wordWrap/>
              <w:overflowPunct/>
              <w:topLinePunct w:val="0"/>
              <w:autoSpaceDE/>
              <w:autoSpaceDN/>
              <w:bidi w:val="0"/>
              <w:adjustRightInd/>
              <w:snapToGrid/>
              <w:ind w:firstLine="420" w:firstLineChars="200"/>
              <w:jc w:val="both"/>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装配工序废气（NMHC）。装配区熔胶处设置 1 个式集气罩，</w:t>
            </w:r>
            <w:r>
              <w:rPr>
                <w:rFonts w:hint="eastAsia" w:ascii="宋体" w:hAnsi="宋体" w:eastAsia="宋体" w:cs="宋体"/>
                <w:color w:val="000000"/>
                <w:kern w:val="0"/>
                <w:sz w:val="21"/>
                <w:szCs w:val="21"/>
                <w:lang w:val="en-US" w:eastAsia="zh-CN" w:bidi="ar"/>
              </w:rPr>
              <w:t>经“UV 光氧化-活性炭吸附”设备处理后，通过 1 根 15m 排气筒排放，NMHC 有组织排放浓度满足《大气污染物综合排放标准》（GB16297-1996）表 2 二级标准要求和《关于全省开展工业企业挥发性有机物专项治理工作中排放建议值的通知》（豫环攻坚办〔2017〕162 号）要求。</w:t>
            </w:r>
          </w:p>
          <w:p w14:paraId="7779DD66">
            <w:pPr>
              <w:keepNext w:val="0"/>
              <w:keepLines w:val="0"/>
              <w:pageBreakBefore w:val="0"/>
              <w:widowControl/>
              <w:numPr>
                <w:ilvl w:val="0"/>
                <w:numId w:val="2"/>
              </w:numPr>
              <w:suppressLineNumbers w:val="0"/>
              <w:kinsoku/>
              <w:wordWrap/>
              <w:overflowPunct/>
              <w:topLinePunct w:val="0"/>
              <w:autoSpaceDE/>
              <w:autoSpaceDN/>
              <w:bidi w:val="0"/>
              <w:adjustRightInd/>
              <w:snapToGrid/>
              <w:ind w:firstLine="420" w:firstLineChars="200"/>
              <w:jc w:val="both"/>
              <w:textAlignment w:val="auto"/>
              <w:rPr>
                <w:rFonts w:hint="eastAsia" w:ascii="宋体" w:hAnsi="宋体" w:eastAsia="宋体" w:cs="宋体"/>
                <w:sz w:val="21"/>
                <w:szCs w:val="21"/>
              </w:rPr>
            </w:pPr>
            <w:r>
              <w:rPr>
                <w:rFonts w:hint="eastAsia" w:ascii="宋体" w:hAnsi="宋体" w:eastAsia="宋体" w:cs="宋体"/>
                <w:color w:val="000000"/>
                <w:kern w:val="0"/>
                <w:sz w:val="21"/>
                <w:szCs w:val="21"/>
                <w:lang w:val="en-US" w:eastAsia="zh-CN" w:bidi="ar"/>
              </w:rPr>
              <w:t>焊接工序废气（颗粒物、锡及其化合物）。焊接处设置 1 个外部式集气罩，经“袋式除尘”设备处理后，通过 1 根 15m 排气筒排放，颗粒物有组织排放浓度满足《大气污染物综合排放标准》（GB16297-1996）表 2 二级标准要求、锡及其化合物有组织排放浓度满足《大气污染物综合排放标准》（GB16297-1996）表 2 二级标准要求。</w:t>
            </w:r>
          </w:p>
          <w:p w14:paraId="1BFFFABF">
            <w:pPr>
              <w:keepNext w:val="0"/>
              <w:keepLines w:val="0"/>
              <w:pageBreakBefore w:val="0"/>
              <w:widowControl/>
              <w:numPr>
                <w:ilvl w:val="0"/>
                <w:numId w:val="2"/>
              </w:numPr>
              <w:suppressLineNumbers w:val="0"/>
              <w:kinsoku/>
              <w:wordWrap/>
              <w:overflowPunct/>
              <w:topLinePunct w:val="0"/>
              <w:autoSpaceDE/>
              <w:autoSpaceDN/>
              <w:bidi w:val="0"/>
              <w:adjustRightInd/>
              <w:snapToGrid/>
              <w:ind w:firstLine="420" w:firstLineChars="200"/>
              <w:jc w:val="both"/>
              <w:textAlignment w:val="auto"/>
              <w:rPr>
                <w:rFonts w:hint="eastAsia" w:ascii="宋体" w:hAnsi="宋体" w:eastAsia="宋体" w:cs="宋体"/>
                <w:color w:val="000000"/>
                <w:kern w:val="0"/>
                <w:sz w:val="21"/>
                <w:szCs w:val="21"/>
                <w:lang w:val="en-GB" w:eastAsia="zh-CN" w:bidi="ar"/>
              </w:rPr>
            </w:pPr>
            <w:r>
              <w:rPr>
                <w:rFonts w:hint="eastAsia" w:ascii="宋体" w:hAnsi="宋体" w:eastAsia="宋体" w:cs="宋体"/>
                <w:color w:val="000000"/>
                <w:kern w:val="0"/>
                <w:sz w:val="21"/>
                <w:szCs w:val="21"/>
                <w:lang w:val="en-US" w:eastAsia="zh-CN" w:bidi="ar"/>
              </w:rPr>
              <w:t>电解液泄漏废气。项目拟建设封闭原料电池储存间，电解液泄漏废气经负压收集后，经“UV 光氧化-活性炭吸附”设备处理后，通过 1 根 15m 排气筒排放，NMHC 有组织排放浓度满足《大气污染物综合排放标准》（GB16297-1996）表 2 二级标准要求和《关于全省开展工业企业挥发性有机物专项治理工作中排放建议值的通知》（豫环攻坚办〔2017〕162 号）要求。</w:t>
            </w:r>
          </w:p>
          <w:p w14:paraId="03D95F2F">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三、噪声污染防治措施</w:t>
            </w:r>
          </w:p>
          <w:p w14:paraId="5DF69B84">
            <w:pPr>
              <w:keepNext w:val="0"/>
              <w:keepLines w:val="0"/>
              <w:pageBreakBefore w:val="0"/>
              <w:widowControl/>
              <w:suppressLineNumbers w:val="0"/>
              <w:kinsoku/>
              <w:wordWrap/>
              <w:overflowPunct/>
              <w:topLinePunct w:val="0"/>
              <w:autoSpaceDE/>
              <w:autoSpaceDN/>
              <w:bidi w:val="0"/>
              <w:adjustRightInd/>
              <w:snapToGrid/>
              <w:ind w:firstLine="420" w:firstLineChars="200"/>
              <w:jc w:val="both"/>
              <w:textAlignment w:val="auto"/>
              <w:rPr>
                <w:rFonts w:hint="eastAsia" w:ascii="宋体" w:hAnsi="宋体" w:eastAsia="宋体" w:cs="宋体"/>
                <w:sz w:val="21"/>
                <w:szCs w:val="21"/>
                <w:lang w:val="en-US" w:eastAsia="zh-CN"/>
              </w:rPr>
            </w:pPr>
            <w:r>
              <w:rPr>
                <w:rFonts w:hint="eastAsia" w:ascii="宋体" w:hAnsi="宋体" w:eastAsia="宋体" w:cs="宋体"/>
                <w:color w:val="000000"/>
                <w:kern w:val="0"/>
                <w:sz w:val="21"/>
                <w:szCs w:val="21"/>
                <w:lang w:val="en-US" w:eastAsia="zh-CN" w:bidi="ar"/>
              </w:rPr>
              <w:t>项目主要噪声为焊点铣削设备、空压机、风机等设备噪声。采取隔声降噪措施</w:t>
            </w:r>
            <w:r>
              <w:rPr>
                <w:rFonts w:hint="eastAsia" w:ascii="宋体" w:hAnsi="宋体" w:eastAsia="宋体" w:cs="宋体"/>
                <w:sz w:val="21"/>
                <w:szCs w:val="21"/>
                <w:lang w:val="en-US" w:eastAsia="zh-CN"/>
              </w:rPr>
              <w:t>后，厂界噪声排放满足《工业企业厂界环境噪声排放标准》（GB12348-2008）3类标准要求。</w:t>
            </w:r>
          </w:p>
          <w:p w14:paraId="3340BBF2">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四、固体废弃物处置措施</w:t>
            </w:r>
          </w:p>
          <w:p w14:paraId="115D32D3">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hint="eastAsia" w:ascii="宋体" w:hAnsi="宋体" w:eastAsia="宋体" w:cs="宋体"/>
                <w:color w:val="000000"/>
                <w:kern w:val="0"/>
                <w:sz w:val="21"/>
                <w:szCs w:val="21"/>
                <w:lang w:val="en-US" w:eastAsia="zh-CN" w:bidi="ar"/>
              </w:rPr>
            </w:pPr>
            <w:r>
              <w:rPr>
                <w:rFonts w:hint="eastAsia" w:ascii="宋体" w:hAnsi="宋体" w:eastAsia="宋体" w:cs="宋体"/>
                <w:sz w:val="21"/>
                <w:szCs w:val="21"/>
                <w:lang w:val="en-US" w:eastAsia="zh-CN"/>
              </w:rPr>
              <w:t xml:space="preserve">项目运营期产生固体废物为废电池包、废电芯、电池外壳、废控制件、废铝材、废塑料件、胶渣、废线束及固定件、除尘灰、焊渣、废 UV 灯管、废滤袋、废冷却系统（管路）、废活性炭、废电路板、废电解液、生活垃圾。 </w:t>
            </w:r>
            <w:r>
              <w:rPr>
                <w:rFonts w:hint="eastAsia" w:ascii="宋体" w:hAnsi="宋体" w:eastAsia="宋体" w:cs="宋体"/>
                <w:color w:val="000000"/>
                <w:kern w:val="0"/>
                <w:sz w:val="21"/>
                <w:szCs w:val="21"/>
                <w:lang w:val="en-US" w:eastAsia="zh-CN" w:bidi="ar"/>
              </w:rPr>
              <w:t xml:space="preserve"> </w:t>
            </w:r>
          </w:p>
          <w:p w14:paraId="2E7A3E21">
            <w:pPr>
              <w:keepNext w:val="0"/>
              <w:keepLines w:val="0"/>
              <w:pageBreakBefore w:val="0"/>
              <w:widowControl w:val="0"/>
              <w:numPr>
                <w:ilvl w:val="0"/>
                <w:numId w:val="3"/>
              </w:numPr>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废电池包、废电芯、电池外壳、废控制件、废铝材、废塑料件、废线束及固定件属于一般工业固体废物，查阅《固体废物分类与名录》，为 SW17 可再生类废物，收集暂存后外售资源化利用。</w:t>
            </w:r>
          </w:p>
          <w:p w14:paraId="4C2AA252">
            <w:pPr>
              <w:keepNext w:val="0"/>
              <w:keepLines w:val="0"/>
              <w:pageBreakBefore w:val="0"/>
              <w:widowControl w:val="0"/>
              <w:numPr>
                <w:ilvl w:val="0"/>
                <w:numId w:val="3"/>
              </w:numPr>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除尘灰、焊渣、废冷却系统（管路）、胶渣属于一般工业固体废物，查阅《固体废物分类与名录》，为 SW59 其他工业固体废物，收集暂存后外运处理。</w:t>
            </w:r>
          </w:p>
          <w:p w14:paraId="21A55E7F">
            <w:pPr>
              <w:keepNext w:val="0"/>
              <w:keepLines w:val="0"/>
              <w:pageBreakBefore w:val="0"/>
              <w:widowControl w:val="0"/>
              <w:numPr>
                <w:ilvl w:val="0"/>
                <w:numId w:val="3"/>
              </w:numPr>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废 UV 灯管、废电路板、废活性炭属于危险废物，收集在危废暂存间暂存，定期交由有资质的危废处理单位处置。 </w:t>
            </w:r>
          </w:p>
          <w:p w14:paraId="02AB7678">
            <w:pPr>
              <w:keepNext w:val="0"/>
              <w:keepLines w:val="0"/>
              <w:pageBreakBefore w:val="0"/>
              <w:widowControl w:val="0"/>
              <w:numPr>
                <w:ilvl w:val="0"/>
                <w:numId w:val="3"/>
              </w:numPr>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废滤袋为 SW59 其他工业固体废物，收集在厂区暂存，由设备供应商维护时回收处理。</w:t>
            </w:r>
          </w:p>
          <w:p w14:paraId="766953E0">
            <w:pPr>
              <w:keepNext w:val="0"/>
              <w:keepLines w:val="0"/>
              <w:pageBreakBefore w:val="0"/>
              <w:widowControl w:val="0"/>
              <w:numPr>
                <w:ilvl w:val="0"/>
                <w:numId w:val="3"/>
              </w:numPr>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因事故原因造成电池破损，导致电解液泄漏，因其主要成分为有机溶剂，具有易燃性，暂按危险废物管理。在该类固体废物产生后，按《危险废物鉴别技术规范》（HJ/T298）、《危险废物鉴别标准 通则》（GB5085.7）等要求鉴别其属性。</w:t>
            </w:r>
          </w:p>
          <w:p w14:paraId="2ADB66B2">
            <w:pPr>
              <w:keepNext w:val="0"/>
              <w:keepLines w:val="0"/>
              <w:pageBreakBefore w:val="0"/>
              <w:widowControl w:val="0"/>
              <w:numPr>
                <w:ilvl w:val="0"/>
                <w:numId w:val="3"/>
              </w:numPr>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ascii="Times New Roman" w:hAnsi="Times New Roman" w:cs="Times New Roman"/>
                <w:szCs w:val="21"/>
              </w:rPr>
            </w:pPr>
            <w:r>
              <w:rPr>
                <w:rFonts w:hint="eastAsia" w:ascii="宋体" w:hAnsi="宋体" w:eastAsia="宋体" w:cs="宋体"/>
                <w:sz w:val="21"/>
                <w:szCs w:val="21"/>
                <w:lang w:val="en-US" w:eastAsia="zh-CN"/>
              </w:rPr>
              <w:t>生活垃圾由环卫部门定期收集后妥善处理。</w:t>
            </w:r>
            <w:bookmarkStart w:id="0" w:name="_GoBack"/>
            <w:bookmarkEnd w:id="0"/>
          </w:p>
        </w:tc>
        <w:tc>
          <w:tcPr>
            <w:tcW w:w="883" w:type="dxa"/>
          </w:tcPr>
          <w:p w14:paraId="5D020F50">
            <w:pPr>
              <w:jc w:val="center"/>
              <w:rPr>
                <w:rFonts w:hint="eastAsia" w:ascii="Times New Roman" w:hAnsi="Times New Roman" w:cs="Times New Roman" w:eastAsiaTheme="minorEastAsia"/>
                <w:szCs w:val="21"/>
                <w:lang w:eastAsia="zh-CN"/>
              </w:rPr>
            </w:pPr>
            <w:r>
              <w:rPr>
                <w:rFonts w:hint="eastAsia" w:ascii="Times New Roman" w:cs="Times New Roman" w:hAnsiTheme="minorEastAsia"/>
                <w:szCs w:val="21"/>
                <w:lang w:eastAsia="zh-CN"/>
              </w:rPr>
              <w:t>已进行公参</w:t>
            </w:r>
          </w:p>
        </w:tc>
      </w:tr>
    </w:tbl>
    <w:p w14:paraId="775F90E7">
      <w:pPr>
        <w:rPr>
          <w:rFonts w:hint="eastAsia" w:ascii="Times New Roman" w:cs="Times New Roman" w:hAnsiTheme="minorEastAsia"/>
          <w:sz w:val="28"/>
          <w:szCs w:val="28"/>
        </w:rPr>
      </w:pPr>
      <w:r>
        <w:rPr>
          <w:rFonts w:hint="eastAsia" w:ascii="Times New Roman" w:cs="Times New Roman" w:hAnsiTheme="minorEastAsia"/>
          <w:sz w:val="28"/>
          <w:szCs w:val="28"/>
        </w:rPr>
        <w:t>注：根据《建设项目环境影响评价政府信息公开指南（试行）》的有关规定，上述环境影响报告书、表不含涉及国家秘密、商业秘密、个人隐私以及涉及国家安全、公共安全、经济安全和社会稳定的内容。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modern"/>
    <w:pitch w:val="default"/>
    <w:sig w:usb0="E0002AFF" w:usb1="C0007841" w:usb2="00000009" w:usb3="00000000" w:csb0="400001FF" w:csb1="FFFF0000"/>
  </w:font>
  <w:font w:name="宋体">
    <w:panose1 w:val="02010600030101010101"/>
    <w:charset w:val="52"/>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decorative"/>
    <w:pitch w:val="default"/>
    <w:sig w:usb0="E00002FF" w:usb1="4000ACFF" w:usb2="00000001"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D247D67"/>
    <w:multiLevelType w:val="singleLevel"/>
    <w:tmpl w:val="DD247D67"/>
    <w:lvl w:ilvl="0" w:tentative="0">
      <w:start w:val="1"/>
      <w:numFmt w:val="decimal"/>
      <w:suff w:val="nothing"/>
      <w:lvlText w:val="（%1）"/>
      <w:lvlJc w:val="left"/>
    </w:lvl>
  </w:abstractNum>
  <w:abstractNum w:abstractNumId="1">
    <w:nsid w:val="02E7358C"/>
    <w:multiLevelType w:val="singleLevel"/>
    <w:tmpl w:val="02E7358C"/>
    <w:lvl w:ilvl="0" w:tentative="0">
      <w:start w:val="1"/>
      <w:numFmt w:val="bullet"/>
      <w:pStyle w:val="4"/>
      <w:lvlText w:val=""/>
      <w:lvlJc w:val="left"/>
      <w:pPr>
        <w:tabs>
          <w:tab w:val="left" w:pos="2040"/>
        </w:tabs>
        <w:ind w:left="2040" w:hanging="360"/>
      </w:pPr>
      <w:rPr>
        <w:rFonts w:hint="default" w:ascii="Wingdings" w:hAnsi="Wingdings"/>
      </w:rPr>
    </w:lvl>
  </w:abstractNum>
  <w:abstractNum w:abstractNumId="2">
    <w:nsid w:val="69AFE263"/>
    <w:multiLevelType w:val="singleLevel"/>
    <w:tmpl w:val="69AFE263"/>
    <w:lvl w:ilvl="0" w:tentative="0">
      <w:start w:val="1"/>
      <w:numFmt w:val="decimal"/>
      <w:lvlText w:val="(%1)"/>
      <w:lvlJc w:val="left"/>
      <w:pPr>
        <w:ind w:left="425" w:hanging="425"/>
      </w:pPr>
      <w:rPr>
        <w:rFont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6"/>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jBmNjY0OWM0ZmM5NDE4NjcxYmU4ODI1ODcyMjE2NDEifQ=="/>
  </w:docVars>
  <w:rsids>
    <w:rsidRoot w:val="001E5CDA"/>
    <w:rsid w:val="000254D6"/>
    <w:rsid w:val="00137019"/>
    <w:rsid w:val="001E5CDA"/>
    <w:rsid w:val="00EE20F3"/>
    <w:rsid w:val="0C771E12"/>
    <w:rsid w:val="117F61F0"/>
    <w:rsid w:val="2473652D"/>
    <w:rsid w:val="296348D8"/>
    <w:rsid w:val="2B033176"/>
    <w:rsid w:val="2BC50FE3"/>
    <w:rsid w:val="3C9B48E8"/>
    <w:rsid w:val="4BA6413B"/>
    <w:rsid w:val="696541D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unhideWhenUsed/>
    <w:qFormat/>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Body Text First Indent"/>
    <w:basedOn w:val="3"/>
    <w:next w:val="1"/>
    <w:unhideWhenUsed/>
    <w:qFormat/>
    <w:uiPriority w:val="0"/>
    <w:pPr>
      <w:ind w:firstLine="420" w:firstLineChars="100"/>
    </w:pPr>
  </w:style>
  <w:style w:type="paragraph" w:styleId="3">
    <w:name w:val="Body Text"/>
    <w:basedOn w:val="1"/>
    <w:next w:val="4"/>
    <w:qFormat/>
    <w:uiPriority w:val="0"/>
    <w:pPr>
      <w:spacing w:line="400" w:lineRule="exact"/>
    </w:pPr>
    <w:rPr>
      <w:sz w:val="28"/>
    </w:rPr>
  </w:style>
  <w:style w:type="paragraph" w:styleId="4">
    <w:name w:val="List Bullet 5"/>
    <w:basedOn w:val="1"/>
    <w:semiHidden/>
    <w:unhideWhenUsed/>
    <w:uiPriority w:val="99"/>
    <w:pPr>
      <w:numPr>
        <w:ilvl w:val="0"/>
        <w:numId w:val="1"/>
      </w:numPr>
    </w:pPr>
  </w:style>
  <w:style w:type="table" w:styleId="6">
    <w:name w:val="Table Grid"/>
    <w:basedOn w:val="5"/>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customStyle="1" w:styleId="8">
    <w:name w:val="正文一"/>
    <w:basedOn w:val="1"/>
    <w:qFormat/>
    <w:uiPriority w:val="0"/>
    <w:pPr>
      <w:spacing w:line="600" w:lineRule="exact"/>
      <w:ind w:firstLine="200" w:firstLineChars="200"/>
    </w:pPr>
    <w:rPr>
      <w:rFonts w:ascii="Times New Roman" w:hAnsi="Times New Roman" w:eastAsia="宋体" w:cs="Times New Roman"/>
      <w:kern w:val="0"/>
      <w:sz w:val="28"/>
      <w:szCs w:val="2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1919</Words>
  <Characters>2084</Characters>
  <Lines>13</Lines>
  <Paragraphs>3</Paragraphs>
  <TotalTime>3</TotalTime>
  <ScaleCrop>false</ScaleCrop>
  <LinksUpToDate>false</LinksUpToDate>
  <CharactersWithSpaces>2140</CharactersWithSpaces>
  <Application>WPS Office_12.1.0.17133_F1E327BC-269C-435d-A152-05C5408002CA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2024-06-04T10:25:00Z</dcterms:created>
  <dc:creator>DUGUOZHU</dc:creator>
  <cp:lastModifiedBy>晴天</cp:lastModifiedBy>
  <dcterms:modified xsi:type="dcterms:W3CDTF">2024-07-05T07:47:23Z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2052-12.1.0.17133</vt:lpwstr>
  </property>
  <property fmtid="{D5CDD505-2E9C-101B-9397-08002B2CF9AE}" pid="3" name="ICV">
    <vt:lpwstr>94860026EB3B4334A86938CA00B9B21C_12</vt:lpwstr>
  </property>
</Properties>
</file>