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3824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i w:val="0"/>
          <w:iCs w:val="0"/>
          <w:caps w:val="0"/>
          <w:spacing w:val="0"/>
          <w:sz w:val="44"/>
          <w:szCs w:val="44"/>
          <w:shd w:val="clear" w:fill="FFFFFF"/>
        </w:rPr>
      </w:pPr>
      <w:r>
        <w:rPr>
          <w:rFonts w:hint="eastAsia" w:ascii="方正小标宋简体" w:hAnsi="方正小标宋简体" w:eastAsia="方正小标宋简体" w:cs="方正小标宋简体"/>
          <w:i w:val="0"/>
          <w:iCs w:val="0"/>
          <w:caps w:val="0"/>
          <w:spacing w:val="0"/>
          <w:sz w:val="44"/>
          <w:szCs w:val="44"/>
          <w:shd w:val="clear" w:fill="FFFFFF"/>
        </w:rPr>
        <w:t>河南省纪委监委公开通报六起</w:t>
      </w:r>
    </w:p>
    <w:p w14:paraId="3999D1D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i w:val="0"/>
          <w:iCs w:val="0"/>
          <w:caps w:val="0"/>
          <w:spacing w:val="0"/>
          <w:sz w:val="44"/>
          <w:szCs w:val="44"/>
          <w:shd w:val="clear" w:fill="FFFFFF"/>
        </w:rPr>
        <w:t>违反中央八项规定精神典型问题</w:t>
      </w:r>
    </w:p>
    <w:p w14:paraId="4E352ED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1920" w:firstLineChars="600"/>
        <w:textAlignment w:val="auto"/>
        <w:rPr>
          <w:rFonts w:hint="eastAsia" w:ascii="仿宋_GB2312" w:hAnsi="仿宋_GB2312" w:eastAsia="仿宋_GB2312" w:cs="仿宋_GB2312"/>
          <w:i w:val="0"/>
          <w:iCs w:val="0"/>
          <w:caps w:val="0"/>
          <w:spacing w:val="0"/>
          <w:sz w:val="32"/>
          <w:szCs w:val="32"/>
          <w:shd w:val="clear" w:fill="FFFFFF"/>
        </w:rPr>
      </w:pPr>
      <w:r>
        <w:rPr>
          <w:rFonts w:hint="eastAsia" w:ascii="仿宋_GB2312" w:hAnsi="仿宋_GB2312" w:eastAsia="仿宋_GB2312" w:cs="仿宋_GB2312"/>
          <w:i w:val="0"/>
          <w:iCs w:val="0"/>
          <w:caps w:val="0"/>
          <w:spacing w:val="0"/>
          <w:sz w:val="32"/>
          <w:szCs w:val="32"/>
          <w:shd w:val="clear" w:fill="FFFFFF"/>
        </w:rPr>
        <w:t>映象网 2025/3/31 07:13来自河南</w:t>
      </w:r>
    </w:p>
    <w:p w14:paraId="074ED69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i w:val="0"/>
          <w:iCs w:val="0"/>
          <w:caps w:val="0"/>
          <w:spacing w:val="0"/>
          <w:sz w:val="32"/>
          <w:szCs w:val="32"/>
          <w:shd w:val="clear" w:fill="FFFFFF"/>
        </w:rPr>
      </w:pPr>
    </w:p>
    <w:p w14:paraId="46FC41E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为扎实开展深入贯彻中央八项规定精神学习教育，进一步强化警示教育、营造浓厚氛围，河南省纪委监委公开通报6起违反中央八项规定精神典型问题。</w:t>
      </w:r>
    </w:p>
    <w:p w14:paraId="6480162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省人大监察和司法委员会原主任委员宋殿宇接受可能影响公正执行公务的宴请，收受可能影响公正执行公务的礼品、礼金、消费卡，在交通方面谋求特殊待遇问题。2014年春节至2024年8月，宋殿宇多次接受下属及私营企业主安排的宴请；多次收受礼金、购物卡、高档酒水；到省市场监督管理局、省人大工作后，安排原单位工作人员担任司机，长期提供交通保障服务。宋殿宇还存在其他严重违纪违法问题。2025年1月，宋殿宇被开除党籍、开除公职，涉嫌犯罪问题被移送检察机关依法审查起诉。</w:t>
      </w:r>
    </w:p>
    <w:p w14:paraId="675C533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驻马店市政协原党组成员、副主席史爱民收受可能影响公正执行公务的礼品、消费卡，接受可能影响公正执行公务的宴请和旅游活动安排问题。2013年春节至2023年春节，史爱民多次收受私营企业主提供的高档酒水及提货卡，多次接受私营企业主安排的宴请，同意其家人接受私营企业主安排的旅游活动。史爱民还存在其他严重违纪违法问题。2025年2月，史爱民被开除党籍、开除公职，涉嫌犯罪问题被移送检察机关依法审查起诉。</w:t>
      </w:r>
    </w:p>
    <w:p w14:paraId="1998599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信阳市委党史和地方史志研究室原主任祝辉套取费用公款吃喝、接受可能影响公正执行公务的宴请问题。2019年11月、2023年3月，祝辉分两次通过虚构支出事项等方式套取公款8.5万元用于违规接待、购买烟酒等；2021年至2024年，祝辉多次接受私营企业主安排的宴请。祝辉还存在其他违纪违法问题。2024年12月，祝辉被开除党籍、政务撤职，降为二级科员。</w:t>
      </w:r>
    </w:p>
    <w:p w14:paraId="523C2AB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郑州市惠济区人大常委会原副主任宋国彦以考察为名变相公款旅游问题。2023年7月7日至15日，宋国彦带队赴张掖市考察，除7月10日在张掖市甘州区考察半天外，先后前往银川、阿拉善、酒泉等地景区景点游览，并报销相关费用。2024年12月，宋国彦受到政务记大过处分。</w:t>
      </w:r>
    </w:p>
    <w:p w14:paraId="55C632F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宁陵县委原常委、宣传部长，县政府原副县长王东霞搞劳民伤财的“形象工程”问题。2019年至2021年，王东霞任柘城县胡襄镇党委书记期间，为应付人居环境治理工作检查，花费财政资金249.62万元打造“经典观摩路线”，对沿线21个行政村共计40多万平方米墙体喷漆刷白。王东霞还存在其他严重违纪违法问题。2024年7月，王东霞被开除党籍、开除公职，涉嫌犯罪问题被移送检察机关依法审查起诉。</w:t>
      </w:r>
    </w:p>
    <w:p w14:paraId="34AE06F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汝阳县市场监督管理局党组书记、局长徐晓公车私用问题。2023年11月至2024年1月，徐晓多次驾驶公车前往洛阳市区办理私事。徐晓还存在公车管理失职失责问题。2024年11月，徐晓受到党内警告处分。</w:t>
      </w:r>
    </w:p>
    <w:p w14:paraId="7EB310A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0"/>
          <w:sz w:val="32"/>
          <w:szCs w:val="32"/>
          <w:shd w:val="clear" w:fill="FFFFFF"/>
        </w:rPr>
        <w:t>通报的上述问题，反映出不正之风和腐败问题滋生的土壤和条件依然存在，纠治“四风”必须再加力、再冲锋。当前，全党正在开展深入贯彻中央八项规定精神学习教育，各级党组织和广大党员干部要认真学习习近平总书记关于加强党的作风建设的重要论述，锲而不舍落实中央八项规定及其实施细则精神，不松劲、不停步、再出发。要以更高标准更严要求抓深抓实学习研讨，全面深入查摆问题，动真碰硬整改整治，通过一体推进学查改，推动本地区本部门本单位作风建设不断向上向好。各级纪检监察机关要立足职能职责，压实主体责任、监管职责，推动开展突出问题集中整治，对歪风陋习露头就打、对隐形变异时刻防范。要坚持正风肃纪反腐相贯通，以改革的精神完善风腐同查同治工具箱，加快构建“由腐纠风”的工作链，坚决斩断“由风及腐”的利益链。对发生在学习教育期间、重要时间节点的顶风违纪行为，从严处理、通报曝光、形成震慑，让遵守中央八项规定精神成为党员干部的习惯自觉。</w:t>
      </w:r>
    </w:p>
    <w:p w14:paraId="652FF711">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403F052C">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427C142E">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71A27944">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14:paraId="38034892">
      <w:pPr>
        <w:keepNext w:val="0"/>
        <w:keepLines w:val="0"/>
        <w:pageBreakBefore w:val="0"/>
        <w:kinsoku/>
        <w:wordWrap/>
        <w:overflowPunct/>
        <w:topLinePunct w:val="0"/>
        <w:autoSpaceDE/>
        <w:autoSpaceDN/>
        <w:bidi w:val="0"/>
        <w:adjustRightInd/>
        <w:snapToGrid/>
        <w:spacing w:line="560" w:lineRule="exact"/>
        <w:ind w:firstLine="4160" w:firstLineChars="1300"/>
        <w:textAlignment w:val="auto"/>
        <w:rPr>
          <w:rFonts w:hint="default" w:ascii="仿宋_GB2312" w:hAnsi="仿宋_GB2312" w:eastAsia="仿宋_GB2312" w:cs="仿宋_GB2312"/>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9801E7"/>
    <w:rsid w:val="7BF81F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1444</Words>
  <Characters>1529</Characters>
  <Lines>0</Lines>
  <Paragraphs>0</Paragraphs>
  <TotalTime>4</TotalTime>
  <ScaleCrop>false</ScaleCrop>
  <LinksUpToDate>false</LinksUpToDate>
  <CharactersWithSpaces>1531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2025-04-10T01:35:00Z</dcterms:created>
  <dc:creator>huawei</dc:creator>
  <cp:lastModifiedBy>huawei</cp:lastModifiedBy>
  <dcterms:modified xsi:type="dcterms:W3CDTF">2025-04-10T01:42:52Z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eyJoZGlkIjoiMDU2MTdhZDE4NjdkZjBjZjQ4MGYxZWZhMWY3MGMyOWMifQ==</vt:lpwstr>
  </property>
  <property fmtid="{D5CDD505-2E9C-101B-9397-08002B2CF9AE}" pid="4" name="ICV">
    <vt:lpwstr>4E6D543B2621498CB9159822AA1957AA_12</vt:lpwstr>
  </property>
</Properties>
</file>