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周口市生态环境局关于2024年</w:t>
      </w:r>
      <w:r>
        <w:rPr>
          <w:rFonts w:hint="eastAsia"/>
          <w:color w:val="5B9BD5" w:themeColor="accent1"/>
          <w:sz w:val="36"/>
          <w:szCs w:val="36"/>
          <w:lang w:val="en-US" w:eastAsia="zh-CN"/>
          <w14:textFill>
            <w14:solidFill>
              <w14:schemeClr w14:val="accent1"/>
            </w14:solidFill>
          </w14:textFill>
        </w:rPr>
        <w:t>12</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23</w:t>
      </w:r>
      <w:r>
        <w:rPr>
          <w:rFonts w:hint="eastAsia"/>
          <w:color w:val="5B9BD5" w:themeColor="accent1"/>
          <w:sz w:val="36"/>
          <w:szCs w:val="36"/>
          <w14:textFill>
            <w14:solidFill>
              <w14:schemeClr w14:val="accent1"/>
            </w14:solidFill>
          </w14:textFill>
        </w:rPr>
        <w:t>日—2024年</w:t>
      </w:r>
      <w:r>
        <w:rPr>
          <w:rFonts w:hint="eastAsia"/>
          <w:color w:val="5B9BD5" w:themeColor="accent1"/>
          <w:sz w:val="36"/>
          <w:szCs w:val="36"/>
          <w:lang w:val="en-US" w:eastAsia="zh-CN"/>
          <w14:textFill>
            <w14:solidFill>
              <w14:schemeClr w14:val="accent1"/>
            </w14:solidFill>
          </w14:textFill>
        </w:rPr>
        <w:t>12</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26</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2024-</w:t>
      </w:r>
      <w:r>
        <w:rPr>
          <w:rFonts w:hint="eastAsia"/>
          <w:color w:val="5B9BD5" w:themeColor="accent1"/>
          <w:lang w:val="en-US" w:eastAsia="zh-CN"/>
          <w14:textFill>
            <w14:solidFill>
              <w14:schemeClr w14:val="accent1"/>
            </w14:solidFill>
          </w14:textFill>
        </w:rPr>
        <w:t>12</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31</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根据环境影响评价审批程序的有关规定，经审查，2024年</w:t>
      </w:r>
      <w:r>
        <w:rPr>
          <w:rFonts w:hint="eastAsia"/>
          <w:color w:val="5B9BD5" w:themeColor="accent1"/>
          <w:lang w:val="en-US" w:eastAsia="zh-CN"/>
          <w14:textFill>
            <w14:solidFill>
              <w14:schemeClr w14:val="accent1"/>
            </w14:solidFill>
          </w14:textFill>
        </w:rPr>
        <w:t>12</w:t>
      </w:r>
      <w:r>
        <w:rPr>
          <w:rFonts w:hint="eastAsia"/>
          <w:color w:val="5B9BD5" w:themeColor="accent1"/>
          <w14:textFill>
            <w14:solidFill>
              <w14:schemeClr w14:val="accent1"/>
            </w14:solidFill>
          </w14:textFill>
        </w:rPr>
        <w:t>月2</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日—2024年12月</w:t>
      </w:r>
      <w:r>
        <w:rPr>
          <w:rFonts w:hint="eastAsia"/>
          <w:color w:val="5B9BD5" w:themeColor="accent1"/>
          <w:lang w:val="en-US" w:eastAsia="zh-CN"/>
          <w14:textFill>
            <w14:solidFill>
              <w14:schemeClr w14:val="accent1"/>
            </w14:solidFill>
          </w14:textFill>
        </w:rPr>
        <w:t>26</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个建设项目环境影响评价文件作出了审批决定。现将作出的审批决定予以公告。公告期：2024年</w:t>
      </w:r>
      <w:r>
        <w:rPr>
          <w:rFonts w:hint="eastAsia"/>
          <w:color w:val="5B9BD5" w:themeColor="accent1"/>
          <w:lang w:val="en-US" w:eastAsia="zh-CN"/>
          <w14:textFill>
            <w14:solidFill>
              <w14:schemeClr w14:val="accent1"/>
            </w14:solidFill>
          </w14:textFill>
        </w:rPr>
        <w:t>12</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31</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6</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bookmarkStart w:id="1" w:name="_GoBack"/>
      <w:bookmarkEnd w:id="1"/>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7920"/>
        <w:gridCol w:w="2855"/>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4"/>
              <w:widowControl/>
              <w:spacing w:line="300" w:lineRule="atLeast"/>
              <w:jc w:val="center"/>
            </w:pPr>
            <w:r>
              <w:rPr>
                <w:rFonts w:hint="eastAsia" w:ascii="宋体" w:hAnsi="宋体" w:eastAsia="宋体" w:cs="宋体"/>
                <w:color w:val="0070C0"/>
              </w:rPr>
              <w:t>序号</w:t>
            </w:r>
          </w:p>
        </w:tc>
        <w:tc>
          <w:tcPr>
            <w:tcW w:w="7920"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4"/>
              <w:widowControl/>
              <w:spacing w:line="240" w:lineRule="atLeast"/>
              <w:ind w:firstLine="420"/>
              <w:jc w:val="center"/>
            </w:pPr>
            <w:r>
              <w:rPr>
                <w:rFonts w:hint="eastAsia" w:ascii="宋体" w:hAnsi="宋体" w:eastAsia="宋体" w:cs="宋体"/>
                <w:color w:val="0070C0"/>
              </w:rPr>
              <w:t>环评文件名称</w:t>
            </w:r>
          </w:p>
        </w:tc>
        <w:tc>
          <w:tcPr>
            <w:tcW w:w="285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4"/>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4"/>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4"/>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7920" w:type="dxa"/>
            <w:shd w:val="clear" w:color="auto" w:fill="auto"/>
            <w:vAlign w:val="center"/>
          </w:tcPr>
          <w:p w14:paraId="68511AC7">
            <w:pPr>
              <w:pStyle w:val="14"/>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bookmarkStart w:id="0" w:name="_Hlk162419244"/>
            <w:r>
              <w:rPr>
                <w:rFonts w:hint="default" w:ascii="宋体" w:hAnsi="宋体" w:eastAsia="宋体" w:cs="宋体"/>
                <w:color w:val="0070C0"/>
                <w:lang w:val="en-US" w:eastAsia="zh-CN"/>
              </w:rPr>
              <w:t>太康县中鑫锅炉有限公司室内X射线探伤应用项目环境影响报告表</w:t>
            </w:r>
            <w:bookmarkEnd w:id="0"/>
          </w:p>
        </w:tc>
        <w:tc>
          <w:tcPr>
            <w:tcW w:w="2855" w:type="dxa"/>
            <w:shd w:val="clear" w:color="auto" w:fill="auto"/>
            <w:vAlign w:val="center"/>
          </w:tcPr>
          <w:p w14:paraId="38D54E7C">
            <w:pPr>
              <w:pStyle w:val="14"/>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周环审〔2024〕</w:t>
            </w:r>
            <w:r>
              <w:rPr>
                <w:rFonts w:hint="eastAsia" w:ascii="宋体" w:hAnsi="宋体" w:eastAsia="宋体" w:cs="宋体"/>
                <w:color w:val="0070C0"/>
                <w:lang w:val="en-US" w:eastAsia="zh-CN"/>
              </w:rPr>
              <w:t>121</w:t>
            </w:r>
            <w:r>
              <w:rPr>
                <w:rFonts w:hint="eastAsia" w:ascii="宋体" w:hAnsi="宋体" w:eastAsia="宋体" w:cs="宋体"/>
                <w:color w:val="0070C0"/>
              </w:rPr>
              <w:t>号</w:t>
            </w:r>
          </w:p>
        </w:tc>
        <w:tc>
          <w:tcPr>
            <w:tcW w:w="2335" w:type="dxa"/>
            <w:shd w:val="clear" w:color="auto" w:fill="auto"/>
            <w:vAlign w:val="center"/>
          </w:tcPr>
          <w:p w14:paraId="3A2557C1">
            <w:pPr>
              <w:pStyle w:val="14"/>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2024</w:t>
            </w:r>
            <w:r>
              <w:rPr>
                <w:rFonts w:hint="eastAsia" w:ascii="宋体" w:hAnsi="宋体" w:eastAsia="宋体" w:cs="宋体"/>
                <w:color w:val="0070C0"/>
                <w:lang w:val="en-US" w:eastAsia="zh-CN"/>
              </w:rPr>
              <w:t>1223</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4"/>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7920" w:type="dxa"/>
            <w:shd w:val="clear" w:color="auto" w:fill="auto"/>
            <w:vAlign w:val="center"/>
          </w:tcPr>
          <w:p w14:paraId="23085039">
            <w:pPr>
              <w:pStyle w:val="14"/>
              <w:widowControl/>
              <w:spacing w:beforeAutospacing="0" w:afterAutospacing="0" w:line="400" w:lineRule="exact"/>
              <w:jc w:val="center"/>
              <w:rPr>
                <w:rFonts w:hint="default" w:ascii="宋体" w:hAnsi="宋体" w:eastAsia="宋体" w:cs="宋体"/>
                <w:color w:val="0070C0"/>
                <w:kern w:val="0"/>
                <w:sz w:val="24"/>
                <w:szCs w:val="24"/>
                <w:lang w:val="en-US" w:eastAsia="zh-CN" w:bidi="ar-SA"/>
              </w:rPr>
            </w:pPr>
            <w:r>
              <w:rPr>
                <w:rFonts w:hint="default" w:ascii="宋体" w:hAnsi="宋体" w:eastAsia="宋体" w:cs="宋体"/>
                <w:color w:val="0070C0"/>
                <w:kern w:val="0"/>
                <w:sz w:val="24"/>
                <w:szCs w:val="24"/>
                <w:lang w:val="en-US" w:eastAsia="zh-CN" w:bidi="ar-SA"/>
              </w:rPr>
              <w:t>河南祖元豆制品有限公司年产2700吨豆制品建设项目环境影响报告表</w:t>
            </w:r>
            <w:r>
              <w:rPr>
                <w:rFonts w:hint="eastAsia" w:ascii="宋体" w:hAnsi="宋体" w:eastAsia="宋体" w:cs="宋体"/>
                <w:color w:val="0070C0"/>
                <w:kern w:val="0"/>
                <w:sz w:val="24"/>
                <w:szCs w:val="24"/>
                <w:lang w:val="en-US" w:eastAsia="zh-CN" w:bidi="ar-SA"/>
              </w:rPr>
              <w:t>(</w:t>
            </w:r>
            <w:r>
              <w:rPr>
                <w:rFonts w:hint="default" w:ascii="宋体" w:hAnsi="宋体" w:eastAsia="宋体" w:cs="宋体"/>
                <w:color w:val="0070C0"/>
                <w:kern w:val="0"/>
                <w:sz w:val="24"/>
                <w:szCs w:val="24"/>
                <w:lang w:val="en-US" w:eastAsia="zh-CN" w:bidi="ar-SA"/>
              </w:rPr>
              <w:t>告知承诺制</w:t>
            </w:r>
            <w:r>
              <w:rPr>
                <w:rFonts w:hint="eastAsia" w:ascii="宋体" w:hAnsi="宋体" w:eastAsia="宋体" w:cs="宋体"/>
                <w:color w:val="0070C0"/>
                <w:kern w:val="0"/>
                <w:sz w:val="24"/>
                <w:szCs w:val="24"/>
                <w:lang w:val="en-US" w:eastAsia="zh-CN" w:bidi="ar-SA"/>
              </w:rPr>
              <w:t>)</w:t>
            </w:r>
          </w:p>
        </w:tc>
        <w:tc>
          <w:tcPr>
            <w:tcW w:w="2855" w:type="dxa"/>
            <w:shd w:val="clear" w:color="auto" w:fill="auto"/>
            <w:vAlign w:val="center"/>
          </w:tcPr>
          <w:p w14:paraId="72EE87F2">
            <w:pPr>
              <w:pStyle w:val="14"/>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周环审〔2024〕</w:t>
            </w:r>
            <w:r>
              <w:rPr>
                <w:rFonts w:hint="eastAsia" w:ascii="宋体" w:hAnsi="宋体" w:eastAsia="宋体" w:cs="宋体"/>
                <w:color w:val="0070C0"/>
                <w:lang w:val="en-US" w:eastAsia="zh-CN"/>
              </w:rPr>
              <w:t>122</w:t>
            </w:r>
            <w:r>
              <w:rPr>
                <w:rFonts w:hint="eastAsia" w:ascii="宋体" w:hAnsi="宋体" w:eastAsia="宋体" w:cs="宋体"/>
                <w:color w:val="0070C0"/>
              </w:rPr>
              <w:t>号</w:t>
            </w:r>
          </w:p>
        </w:tc>
        <w:tc>
          <w:tcPr>
            <w:tcW w:w="2335" w:type="dxa"/>
            <w:shd w:val="clear" w:color="auto" w:fill="auto"/>
            <w:vAlign w:val="center"/>
          </w:tcPr>
          <w:p w14:paraId="59072342">
            <w:pPr>
              <w:pStyle w:val="14"/>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2024</w:t>
            </w:r>
            <w:r>
              <w:rPr>
                <w:rFonts w:hint="eastAsia" w:ascii="宋体" w:hAnsi="宋体" w:eastAsia="宋体" w:cs="宋体"/>
                <w:color w:val="0070C0"/>
                <w:lang w:val="en-US" w:eastAsia="zh-CN"/>
              </w:rPr>
              <w:t>1226</w:t>
            </w:r>
          </w:p>
        </w:tc>
      </w:tr>
      <w:tr w14:paraId="78E08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7AA93CB1">
            <w:pPr>
              <w:pStyle w:val="14"/>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7920" w:type="dxa"/>
            <w:shd w:val="clear" w:color="auto" w:fill="auto"/>
            <w:vAlign w:val="center"/>
          </w:tcPr>
          <w:p w14:paraId="318C70EB">
            <w:pPr>
              <w:pStyle w:val="14"/>
              <w:widowControl/>
              <w:spacing w:beforeAutospacing="0" w:afterAutospacing="0" w:line="400" w:lineRule="exact"/>
              <w:jc w:val="center"/>
              <w:rPr>
                <w:rFonts w:hint="default" w:ascii="宋体" w:hAnsi="宋体" w:eastAsia="宋体" w:cs="宋体"/>
                <w:color w:val="0070C0"/>
                <w:kern w:val="0"/>
                <w:sz w:val="24"/>
                <w:szCs w:val="24"/>
                <w:lang w:val="en-US" w:eastAsia="zh-CN" w:bidi="ar-SA"/>
              </w:rPr>
            </w:pPr>
            <w:r>
              <w:rPr>
                <w:rFonts w:hint="default" w:ascii="宋体" w:hAnsi="宋体" w:eastAsia="宋体" w:cs="宋体"/>
                <w:color w:val="0070C0"/>
                <w:kern w:val="0"/>
                <w:sz w:val="24"/>
                <w:szCs w:val="24"/>
                <w:lang w:val="en-US" w:eastAsia="zh-CN" w:bidi="ar-SA"/>
              </w:rPr>
              <w:t>乐普大健康产业园产业化基地多肽类似药生产线建设项目环境影响报告书</w:t>
            </w:r>
          </w:p>
        </w:tc>
        <w:tc>
          <w:tcPr>
            <w:tcW w:w="2855" w:type="dxa"/>
            <w:shd w:val="clear" w:color="auto" w:fill="auto"/>
            <w:vAlign w:val="center"/>
          </w:tcPr>
          <w:p w14:paraId="772C444E">
            <w:pPr>
              <w:pStyle w:val="14"/>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周环审〔2024〕</w:t>
            </w:r>
            <w:r>
              <w:rPr>
                <w:rFonts w:hint="eastAsia" w:ascii="宋体" w:hAnsi="宋体" w:eastAsia="宋体" w:cs="宋体"/>
                <w:color w:val="0070C0"/>
                <w:lang w:val="en-US" w:eastAsia="zh-CN"/>
              </w:rPr>
              <w:t>123</w:t>
            </w:r>
            <w:r>
              <w:rPr>
                <w:rFonts w:hint="eastAsia" w:ascii="宋体" w:hAnsi="宋体" w:eastAsia="宋体" w:cs="宋体"/>
                <w:color w:val="0070C0"/>
              </w:rPr>
              <w:t>号</w:t>
            </w:r>
          </w:p>
        </w:tc>
        <w:tc>
          <w:tcPr>
            <w:tcW w:w="2335" w:type="dxa"/>
            <w:shd w:val="clear" w:color="auto" w:fill="auto"/>
            <w:vAlign w:val="center"/>
          </w:tcPr>
          <w:p w14:paraId="36A55F46">
            <w:pPr>
              <w:pStyle w:val="14"/>
              <w:widowControl/>
              <w:spacing w:line="240" w:lineRule="atLeast"/>
              <w:jc w:val="center"/>
              <w:rPr>
                <w:rFonts w:hint="default" w:ascii="宋体" w:hAnsi="宋体" w:eastAsia="宋体" w:cs="宋体"/>
                <w:color w:val="0070C0"/>
                <w:lang w:val="en-US"/>
              </w:rPr>
            </w:pPr>
            <w:r>
              <w:rPr>
                <w:rFonts w:hint="eastAsia" w:ascii="宋体" w:hAnsi="宋体" w:eastAsia="宋体" w:cs="宋体"/>
                <w:color w:val="0070C0"/>
              </w:rPr>
              <w:t>2024</w:t>
            </w:r>
            <w:r>
              <w:rPr>
                <w:rFonts w:hint="eastAsia" w:ascii="宋体" w:hAnsi="宋体" w:eastAsia="宋体" w:cs="宋体"/>
                <w:color w:val="0070C0"/>
                <w:lang w:val="en-US" w:eastAsia="zh-CN"/>
              </w:rPr>
              <w:t>1226</w:t>
            </w:r>
          </w:p>
        </w:tc>
      </w:tr>
    </w:tbl>
    <w:p w14:paraId="2FB1AE16">
      <w:pPr>
        <w:pStyle w:val="14"/>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7"/>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3"/>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mNjY0OWM0ZmM5NDE4NjcxYmU4ODI1ODcyMjE2NDE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41163FA"/>
    <w:rsid w:val="04212913"/>
    <w:rsid w:val="04EA51DC"/>
    <w:rsid w:val="056871C6"/>
    <w:rsid w:val="06575F38"/>
    <w:rsid w:val="07272588"/>
    <w:rsid w:val="08316616"/>
    <w:rsid w:val="089441E4"/>
    <w:rsid w:val="09CD4459"/>
    <w:rsid w:val="0A917054"/>
    <w:rsid w:val="0B920B9E"/>
    <w:rsid w:val="0CE04148"/>
    <w:rsid w:val="0D096A1C"/>
    <w:rsid w:val="0D4162F6"/>
    <w:rsid w:val="0DD21E35"/>
    <w:rsid w:val="0DFA7836"/>
    <w:rsid w:val="0EF25823"/>
    <w:rsid w:val="0F72653A"/>
    <w:rsid w:val="107D714E"/>
    <w:rsid w:val="11262C21"/>
    <w:rsid w:val="11826890"/>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DA6FF0"/>
    <w:rsid w:val="220D65DB"/>
    <w:rsid w:val="230C5581"/>
    <w:rsid w:val="267D3CEC"/>
    <w:rsid w:val="27A04C32"/>
    <w:rsid w:val="290031FA"/>
    <w:rsid w:val="29A6249B"/>
    <w:rsid w:val="2A1007A8"/>
    <w:rsid w:val="2AEA736F"/>
    <w:rsid w:val="2C5F224B"/>
    <w:rsid w:val="2CD021C7"/>
    <w:rsid w:val="2D497A59"/>
    <w:rsid w:val="2D651155"/>
    <w:rsid w:val="2D952389"/>
    <w:rsid w:val="2DA57AB6"/>
    <w:rsid w:val="2F14576D"/>
    <w:rsid w:val="2F5672F8"/>
    <w:rsid w:val="301C25EA"/>
    <w:rsid w:val="30221CAD"/>
    <w:rsid w:val="321F7884"/>
    <w:rsid w:val="329649F1"/>
    <w:rsid w:val="32BA3E37"/>
    <w:rsid w:val="334F17BC"/>
    <w:rsid w:val="336B3FE0"/>
    <w:rsid w:val="337E5034"/>
    <w:rsid w:val="358207C3"/>
    <w:rsid w:val="36513C5F"/>
    <w:rsid w:val="36B0540E"/>
    <w:rsid w:val="36E91F6E"/>
    <w:rsid w:val="381A04E2"/>
    <w:rsid w:val="38A46601"/>
    <w:rsid w:val="38C30B13"/>
    <w:rsid w:val="3A307F56"/>
    <w:rsid w:val="3A421AC2"/>
    <w:rsid w:val="3A464870"/>
    <w:rsid w:val="3A6660E7"/>
    <w:rsid w:val="3CE525F6"/>
    <w:rsid w:val="3D000129"/>
    <w:rsid w:val="3D887CFC"/>
    <w:rsid w:val="3DB4772B"/>
    <w:rsid w:val="3E515B32"/>
    <w:rsid w:val="3EC076A3"/>
    <w:rsid w:val="3F227921"/>
    <w:rsid w:val="3F4868EF"/>
    <w:rsid w:val="3FA907C1"/>
    <w:rsid w:val="415969A6"/>
    <w:rsid w:val="42A140E5"/>
    <w:rsid w:val="42DD28C1"/>
    <w:rsid w:val="432969AF"/>
    <w:rsid w:val="441F7EFA"/>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B54C12"/>
    <w:rsid w:val="62CD7AE2"/>
    <w:rsid w:val="63AF1CD9"/>
    <w:rsid w:val="645D7027"/>
    <w:rsid w:val="651B3110"/>
    <w:rsid w:val="65202904"/>
    <w:rsid w:val="65A96839"/>
    <w:rsid w:val="65DA4FEF"/>
    <w:rsid w:val="661D2EEC"/>
    <w:rsid w:val="688921F5"/>
    <w:rsid w:val="68B31E17"/>
    <w:rsid w:val="68E30BBD"/>
    <w:rsid w:val="6A3F04C8"/>
    <w:rsid w:val="6B257326"/>
    <w:rsid w:val="6C693483"/>
    <w:rsid w:val="6C820709"/>
    <w:rsid w:val="6CC63A54"/>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B2063B"/>
    <w:rsid w:val="72654CFD"/>
    <w:rsid w:val="731B1AE3"/>
    <w:rsid w:val="73CC3487"/>
    <w:rsid w:val="74463731"/>
    <w:rsid w:val="74615A56"/>
    <w:rsid w:val="759A3FF3"/>
    <w:rsid w:val="76215BE7"/>
    <w:rsid w:val="762B3F3F"/>
    <w:rsid w:val="76494835"/>
    <w:rsid w:val="767F6270"/>
    <w:rsid w:val="76A91466"/>
    <w:rsid w:val="7725519C"/>
    <w:rsid w:val="77F10CCF"/>
    <w:rsid w:val="78412A9E"/>
    <w:rsid w:val="784B4769"/>
    <w:rsid w:val="78E37D15"/>
    <w:rsid w:val="796D7E5D"/>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1"/>
    <w:next w:val="1"/>
    <w:qFormat/>
    <w:uiPriority w:val="0"/>
    <w:pPr>
      <w:spacing w:after="120" w:afterLines="0" w:line="240" w:lineRule="auto"/>
      <w:ind w:left="420" w:leftChars="200" w:firstLine="420" w:firstLineChars="200"/>
    </w:pPr>
    <w:rPr>
      <w:spacing w:val="0"/>
      <w:sz w:val="28"/>
    </w:rPr>
  </w:style>
  <w:style w:type="paragraph" w:styleId="4">
    <w:name w:val="Normal Indent"/>
    <w:basedOn w:val="1"/>
    <w:next w:val="1"/>
    <w:qFormat/>
    <w:uiPriority w:val="0"/>
    <w:pPr>
      <w:spacing w:line="520" w:lineRule="atLeast"/>
      <w:ind w:firstLine="200"/>
    </w:pPr>
    <w:rPr>
      <w:sz w:val="28"/>
      <w:szCs w:val="21"/>
    </w:rPr>
  </w:style>
  <w:style w:type="paragraph" w:styleId="5">
    <w:name w:val="toa heading"/>
    <w:basedOn w:val="1"/>
    <w:next w:val="1"/>
    <w:qFormat/>
    <w:uiPriority w:val="0"/>
    <w:pPr>
      <w:spacing w:before="120" w:after="120" w:line="360" w:lineRule="auto"/>
      <w:ind w:firstLine="200" w:firstLineChars="200"/>
      <w:jc w:val="left"/>
    </w:pPr>
    <w:rPr>
      <w:sz w:val="24"/>
      <w:u w:val="single"/>
    </w:rPr>
  </w:style>
  <w:style w:type="paragraph" w:styleId="6">
    <w:name w:val="Body Text"/>
    <w:basedOn w:val="1"/>
    <w:next w:val="7"/>
    <w:autoRedefine/>
    <w:qFormat/>
    <w:uiPriority w:val="0"/>
    <w:pPr>
      <w:spacing w:after="120"/>
    </w:pPr>
    <w:rPr>
      <w:szCs w:val="20"/>
    </w:rPr>
  </w:style>
  <w:style w:type="paragraph" w:styleId="7">
    <w:name w:val="List Bullet 5"/>
    <w:basedOn w:val="1"/>
    <w:qFormat/>
    <w:uiPriority w:val="0"/>
    <w:pPr>
      <w:numPr>
        <w:ilvl w:val="0"/>
        <w:numId w:val="1"/>
      </w:numPr>
    </w:pPr>
  </w:style>
  <w:style w:type="paragraph" w:styleId="8">
    <w:name w:val="Body Text Indent"/>
    <w:basedOn w:val="1"/>
    <w:next w:val="9"/>
    <w:qFormat/>
    <w:uiPriority w:val="0"/>
    <w:pPr>
      <w:ind w:firstLine="560" w:firstLineChars="200"/>
    </w:pPr>
    <w:rPr>
      <w:rFonts w:ascii="华文楷体" w:hAnsi="华文楷体" w:eastAsia="华文楷体"/>
      <w:sz w:val="28"/>
    </w:rPr>
  </w:style>
  <w:style w:type="paragraph" w:styleId="9">
    <w:name w:val="Body Text Indent 2"/>
    <w:basedOn w:val="1"/>
    <w:next w:val="5"/>
    <w:qFormat/>
    <w:uiPriority w:val="0"/>
    <w:pPr>
      <w:spacing w:after="120" w:line="480" w:lineRule="auto"/>
      <w:ind w:left="420" w:leftChars="200"/>
    </w:pPr>
    <w:rPr>
      <w:sz w:val="24"/>
      <w:szCs w:val="20"/>
    </w:rPr>
  </w:style>
  <w:style w:type="paragraph" w:styleId="10">
    <w:name w:val="footer"/>
    <w:basedOn w:val="1"/>
    <w:link w:val="25"/>
    <w:qFormat/>
    <w:uiPriority w:val="0"/>
    <w:pPr>
      <w:tabs>
        <w:tab w:val="center" w:pos="4153"/>
        <w:tab w:val="right" w:pos="8306"/>
      </w:tabs>
      <w:snapToGrid w:val="0"/>
      <w:jc w:val="left"/>
    </w:pPr>
    <w:rPr>
      <w:sz w:val="18"/>
      <w:szCs w:val="18"/>
    </w:rPr>
  </w:style>
  <w:style w:type="paragraph" w:styleId="11">
    <w:name w:val="header"/>
    <w:basedOn w:val="1"/>
    <w:next w:val="12"/>
    <w:link w:val="24"/>
    <w:qFormat/>
    <w:uiPriority w:val="0"/>
    <w:pPr>
      <w:tabs>
        <w:tab w:val="center" w:pos="4153"/>
        <w:tab w:val="right" w:pos="8306"/>
      </w:tabs>
      <w:snapToGrid w:val="0"/>
      <w:jc w:val="center"/>
    </w:pPr>
    <w:rPr>
      <w:sz w:val="18"/>
      <w:szCs w:val="18"/>
    </w:rPr>
  </w:style>
  <w:style w:type="paragraph" w:customStyle="1" w:styleId="12">
    <w:name w:val="样式5"/>
    <w:basedOn w:val="13"/>
    <w:qFormat/>
    <w:uiPriority w:val="0"/>
    <w:pPr>
      <w:tabs>
        <w:tab w:val="center" w:pos="0"/>
        <w:tab w:val="left" w:pos="1440"/>
        <w:tab w:val="left" w:pos="1765"/>
      </w:tabs>
      <w:snapToGrid w:val="0"/>
      <w:spacing w:line="360" w:lineRule="auto"/>
      <w:ind w:firstLine="510"/>
    </w:pPr>
  </w:style>
  <w:style w:type="paragraph" w:customStyle="1" w:styleId="13">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4">
    <w:name w:val="Normal (Web)"/>
    <w:basedOn w:val="1"/>
    <w:autoRedefine/>
    <w:qFormat/>
    <w:uiPriority w:val="0"/>
    <w:pPr>
      <w:spacing w:beforeAutospacing="1" w:afterAutospacing="1"/>
      <w:jc w:val="left"/>
    </w:pPr>
    <w:rPr>
      <w:rFonts w:cs="Times New Roman"/>
      <w:kern w:val="0"/>
      <w:sz w:val="24"/>
    </w:rPr>
  </w:style>
  <w:style w:type="paragraph" w:styleId="15">
    <w:name w:val="Title"/>
    <w:basedOn w:val="1"/>
    <w:qFormat/>
    <w:uiPriority w:val="1"/>
    <w:pPr>
      <w:ind w:left="509" w:right="655"/>
      <w:jc w:val="center"/>
    </w:pPr>
    <w:rPr>
      <w:rFonts w:ascii="宋体" w:hAnsi="宋体" w:eastAsia="宋体" w:cs="宋体"/>
      <w:b/>
      <w:bCs/>
      <w:sz w:val="36"/>
      <w:szCs w:val="36"/>
    </w:rPr>
  </w:style>
  <w:style w:type="paragraph" w:styleId="16">
    <w:name w:val="Body Text First Indent"/>
    <w:basedOn w:val="6"/>
    <w:next w:val="1"/>
    <w:autoRedefine/>
    <w:qFormat/>
    <w:uiPriority w:val="0"/>
    <w:pPr>
      <w:ind w:firstLine="420" w:firstLineChars="100"/>
    </w:pPr>
    <w:rPr>
      <w:szCs w:val="24"/>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1"/>
    <w:qFormat/>
    <w:uiPriority w:val="0"/>
    <w:rPr>
      <w:rFonts w:asciiTheme="minorHAnsi" w:hAnsiTheme="minorHAnsi" w:eastAsiaTheme="minorEastAsia" w:cstheme="minorBidi"/>
      <w:kern w:val="2"/>
      <w:sz w:val="18"/>
      <w:szCs w:val="18"/>
    </w:rPr>
  </w:style>
  <w:style w:type="character" w:customStyle="1" w:styleId="25">
    <w:name w:val="页脚 字符"/>
    <w:basedOn w:val="19"/>
    <w:link w:val="10"/>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465</Words>
  <Characters>552</Characters>
  <Lines>1</Lines>
  <Paragraphs>1</Paragraphs>
  <TotalTime>0</TotalTime>
  <ScaleCrop>false</ScaleCrop>
  <LinksUpToDate>false</LinksUpToDate>
  <CharactersWithSpaces>552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2024-12-31T06:32:10Z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65996E502E0F47C1AA674F8376CAD595_13</vt:lpwstr>
  </property>
  <property fmtid="{D5CDD505-2E9C-101B-9397-08002B2CF9AE}" pid="4" name="KSOTemplateDocerSaveRecord">
    <vt:lpwstr>eyJoZGlkIjoiYjBmNjY0OWM0ZmM5NDE4NjcxYmU4ODI1ODcyMjE2NDEiLCJ1c2VySWQiOiIyNjU4MDI5ODAifQ==</vt:lpwstr>
  </property>
</Properties>
</file>